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A000-AM,C-Taino-Head-Anthropomorphic-Concave Base-Porphyritic Rhyolite-1000 CE </w:t>
      </w:r>
    </w:p>
    <w:p>
      <w:pPr>
        <w:pStyle w:val="Normal"/>
        <w:rPr/>
      </w:pPr>
      <w:r>
        <w:rPr/>
        <w:drawing>
          <wp:inline distT="0" distB="0" distL="0" distR="0">
            <wp:extent cx="2713355" cy="20491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5" r="-4" b="-5"/>
                    <a:stretch>
                      <a:fillRect/>
                    </a:stretch>
                  </pic:blipFill>
                  <pic:spPr bwMode="auto">
                    <a:xfrm>
                      <a:off x="0" y="0"/>
                      <a:ext cx="2713355" cy="2049145"/>
                    </a:xfrm>
                    <a:prstGeom prst="rect">
                      <a:avLst/>
                    </a:prstGeom>
                  </pic:spPr>
                </pic:pic>
              </a:graphicData>
            </a:graphic>
          </wp:inline>
        </w:drawing>
      </w:r>
      <w:r>
        <w:rPr/>
        <w:drawing>
          <wp:inline distT="0" distB="0" distL="0" distR="0">
            <wp:extent cx="822960" cy="20459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5" r="-14" b="-5"/>
                    <a:stretch>
                      <a:fillRect/>
                    </a:stretch>
                  </pic:blipFill>
                  <pic:spPr bwMode="auto">
                    <a:xfrm>
                      <a:off x="0" y="0"/>
                      <a:ext cx="822960" cy="2045970"/>
                    </a:xfrm>
                    <a:prstGeom prst="rect">
                      <a:avLst/>
                    </a:prstGeom>
                  </pic:spPr>
                </pic:pic>
              </a:graphicData>
            </a:graphic>
          </wp:inline>
        </w:drawing>
      </w:r>
      <w:r>
        <w:rPr/>
        <w:drawing>
          <wp:inline distT="0" distB="0" distL="0" distR="0">
            <wp:extent cx="2604770" cy="204089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4" t="-5" r="-4" b="-5"/>
                    <a:stretch>
                      <a:fillRect/>
                    </a:stretch>
                  </pic:blipFill>
                  <pic:spPr bwMode="auto">
                    <a:xfrm flipH="1">
                      <a:off x="0" y="0"/>
                      <a:ext cx="2604770" cy="2040890"/>
                    </a:xfrm>
                    <a:prstGeom prst="rect">
                      <a:avLst/>
                    </a:prstGeom>
                  </pic:spPr>
                </pic:pic>
              </a:graphicData>
            </a:graphic>
          </wp:inline>
        </w:drawing>
      </w:r>
    </w:p>
    <w:p>
      <w:pPr>
        <w:pStyle w:val="Normal"/>
        <w:rPr/>
      </w:pPr>
      <w:r>
        <w:rPr/>
      </w:r>
    </w:p>
    <w:p>
      <w:pPr>
        <w:pStyle w:val="Normal"/>
        <w:rPr/>
      </w:pPr>
      <w:r>
        <w:rPr/>
        <w:drawing>
          <wp:inline distT="0" distB="0" distL="0" distR="0">
            <wp:extent cx="4716145" cy="192595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4" t="-10" r="-4" b="-10"/>
                    <a:stretch>
                      <a:fillRect/>
                    </a:stretch>
                  </pic:blipFill>
                  <pic:spPr bwMode="auto">
                    <a:xfrm>
                      <a:off x="0" y="0"/>
                      <a:ext cx="4716145" cy="1925955"/>
                    </a:xfrm>
                    <a:prstGeom prst="rect">
                      <a:avLst/>
                    </a:prstGeom>
                  </pic:spPr>
                </pic:pic>
              </a:graphicData>
            </a:graphic>
          </wp:inline>
        </w:drawing>
      </w:r>
    </w:p>
    <w:p>
      <w:pPr>
        <w:pStyle w:val="Normal"/>
        <w:rPr/>
      </w:pPr>
      <w:r>
        <w:rPr/>
        <w:t xml:space="preserve">Figs. 1-4. AM,C-Taino-Head-Anthropomorphic-Concave Base-Porphyritic Rhyolite-1000 CE </w:t>
      </w:r>
    </w:p>
    <w:p>
      <w:pPr>
        <w:pStyle w:val="Normal"/>
        <w:rPr>
          <w:b/>
          <w:b/>
        </w:rPr>
      </w:pPr>
      <w:r>
        <w:rPr>
          <w:b/>
        </w:rPr>
      </w:r>
    </w:p>
    <w:p>
      <w:pPr>
        <w:pStyle w:val="Normal"/>
        <w:rPr/>
      </w:pPr>
      <w:r>
        <w:rPr/>
        <w:t xml:space="preserve">Anthropomorphic stone head, Fewkes type 2, ovate head with headband, ear spool and open mouth. </w:t>
      </w:r>
    </w:p>
    <w:p>
      <w:pPr>
        <w:pStyle w:val="Normal"/>
        <w:rPr/>
      </w:pPr>
      <w:r>
        <w:rPr/>
        <w:t>Anthropomorphic Heads.</w:t>
      </w:r>
    </w:p>
    <w:p>
      <w:pPr>
        <w:pStyle w:val="Normal"/>
        <w:rPr/>
      </w:pPr>
      <w:r>
        <w:rPr>
          <w:rStyle w:val="StrongEmphasis"/>
        </w:rPr>
        <w:t>Case No.: 17</w:t>
      </w:r>
    </w:p>
    <w:p>
      <w:pPr>
        <w:pStyle w:val="Normal"/>
        <w:rPr/>
      </w:pPr>
      <w:r>
        <w:rPr>
          <w:b/>
        </w:rPr>
        <w:t>Accession No.</w:t>
      </w:r>
    </w:p>
    <w:p>
      <w:pPr>
        <w:pStyle w:val="Normal"/>
        <w:rPr/>
      </w:pPr>
      <w:r>
        <w:rPr>
          <w:b/>
        </w:rPr>
        <w:t xml:space="preserve">Formal Label: </w:t>
      </w:r>
      <w:r>
        <w:rPr/>
        <w:t>AM,C-Taino-Head-Anthropomorphic Cemi-Sun Disk-Aphanitic Rhyolite-1000 CE</w:t>
      </w:r>
    </w:p>
    <w:p>
      <w:pPr>
        <w:pStyle w:val="Normal"/>
        <w:rPr>
          <w:b/>
          <w:b/>
        </w:rPr>
      </w:pPr>
      <w:r>
        <w:rPr>
          <w:b/>
        </w:rPr>
        <w:t>Display Description:</w:t>
      </w:r>
    </w:p>
    <w:p>
      <w:pPr>
        <w:pStyle w:val="Normal"/>
        <w:ind w:firstLine="720"/>
        <w:rPr/>
      </w:pPr>
      <w:r>
        <w:rPr/>
        <w:t xml:space="preserve">The Taino stone head may have originated from the practice of maintaining ossuaries of important caciques or shamans since ancestor worship was a central aspect of Taino spirituality. In ceremonial practice these objects were the conduits to the spirit world and, as such, were consulted on issues of importance to the decision-making of prominent leaders. Features of these sculptures included head bands that may have indicated symbolic elements denoting a particular cacique or group, ear elements that often included a round ear spool below the ear itself, the shape of the chin in various degrees of sharpness, and the shape of the mouth, whether it be open as if in pronouncing an utterance or closed showing only dentition, suggesting a deceased ancestor’s skull. </w:t>
      </w:r>
    </w:p>
    <w:p>
      <w:pPr>
        <w:pStyle w:val="Normal"/>
        <w:ind w:firstLine="720"/>
        <w:rPr/>
      </w:pPr>
      <w:r>
        <w:rPr/>
        <w:t xml:space="preserve">Jesse Walter Fewkes suggested three types of these anthropomorphic heads. The first is with an elongated base. The second type according to Fewkes is ovate with a flat base. The third type is a head without an extended base.  </w:t>
      </w:r>
    </w:p>
    <w:p>
      <w:pPr>
        <w:pStyle w:val="NormalWeb"/>
        <w:rPr/>
      </w:pPr>
      <w:r>
        <w:rPr/>
        <w:tab/>
        <w:t>Taino Cemi’s were embodiments of the</w:t>
      </w:r>
      <w:r>
        <w:rPr>
          <w:b/>
        </w:rPr>
        <w:t xml:space="preserve"> </w:t>
      </w:r>
      <w:r>
        <w:rPr>
          <w:color w:val="000000"/>
        </w:rPr>
        <w:t xml:space="preserve">hidden god, YaYa, who was believed to be an immaterial spirit and whose name is a double superlative of the Arawak </w:t>
      </w:r>
      <w:r>
        <w:rPr>
          <w:i/>
          <w:iCs/>
          <w:color w:val="000000"/>
        </w:rPr>
        <w:t>Ia</w:t>
      </w:r>
      <w:r>
        <w:rPr>
          <w:color w:val="000000"/>
        </w:rPr>
        <w:t xml:space="preserve">, “spirit, essence, primary cause of life” or IaIa or YaYa, which can be translated as Spirit of Spirit (C. H. de Goeje, </w:t>
      </w:r>
      <w:r>
        <w:rPr>
          <w:i/>
          <w:iCs/>
          <w:color w:val="000000"/>
        </w:rPr>
        <w:t>The Arawak language of Guiana,</w:t>
      </w:r>
      <w:r>
        <w:rPr>
          <w:color w:val="000000"/>
        </w:rPr>
        <w:t xml:space="preserve"> Amsterdam, 1928, pp. 45, 142, 204), and whom Father Pané says his “name is a name they do not know” (Pané, Account, ch IX).  This is a sophisticated approach to a metaphysical entity that simultaneously exists as a primary cause and is unknowable. The Taíno believe that this entity “is in heaven [an Indo-European, Roman Catholic concept which has no immediate cognate in Taíno] and is immortal and that no one can see it and that it has a mother [which means a genesis] but no beginning” (</w:t>
      </w:r>
      <w:r>
        <w:rPr>
          <w:i/>
          <w:iCs/>
          <w:color w:val="000000"/>
        </w:rPr>
        <w:t>Relación</w:t>
      </w:r>
      <w:r>
        <w:rPr>
          <w:color w:val="000000"/>
        </w:rPr>
        <w:t xml:space="preserve"> 21). This last statement if put in its stark simplicity it would be: “YaYa has a genesis but no beginning.” </w:t>
      </w:r>
    </w:p>
    <w:p>
      <w:pPr>
        <w:pStyle w:val="NormalWeb"/>
        <w:rPr/>
      </w:pPr>
      <w:r>
        <w:rPr>
          <w:color w:val="000000"/>
        </w:rPr>
        <w:tab/>
        <w:t>While this entity, YaYa, is unknowable and hidden, Like O‘ Theos or YHWH, it can be known simultaneously through the effects it has on the material world. For instance, Pané indicates that the effects of this entity could be considered as manifestations of Yucahuguamá or Lord of the Yucca plant, the chief crop of sustenance of the Taíno (</w:t>
      </w:r>
      <w:r>
        <w:rPr>
          <w:i/>
          <w:iCs/>
          <w:color w:val="000000"/>
        </w:rPr>
        <w:t>Relación</w:t>
      </w:r>
      <w:r>
        <w:rPr>
          <w:color w:val="000000"/>
        </w:rPr>
        <w:t xml:space="preserve"> 48, n. 141). This can be imaged as a Tripointed stone that resembles the canucos or mound of earth as it rises to expose the plant within it. Other images can be of natural objects like birds or animals. In Taíno religion, therefore, just as in Hebrew religion or Roman Catholicism there is need for intermediaries between the known and the unknowable, and these are the cemís, which are known and have been represented in their material form, providing another very important window on the spiritual world of the Taíno.</w:t>
      </w:r>
    </w:p>
    <w:p>
      <w:pPr>
        <w:pStyle w:val="NormalWeb"/>
        <w:rPr>
          <w:color w:val="000000"/>
        </w:rPr>
      </w:pPr>
      <w:r>
        <w:rPr>
          <w:color w:val="000000"/>
        </w:rPr>
        <w:t xml:space="preserve">In this particular double </w:t>
      </w:r>
      <w:r>
        <w:rPr>
          <w:i/>
          <w:color w:val="000000"/>
        </w:rPr>
        <w:t>cemi</w:t>
      </w:r>
      <w:r>
        <w:rPr>
          <w:color w:val="000000"/>
        </w:rPr>
        <w:t xml:space="preserve"> shell mask there is the image of the individual who has just imbibed cohoba, an hallucinogenic compound, the purpose of which was to induce an entheogenic experience. </w:t>
      </w:r>
    </w:p>
    <w:p>
      <w:pPr>
        <w:pStyle w:val="NormalWeb"/>
        <w:rPr/>
      </w:pPr>
      <w:r>
        <w:rPr>
          <w:b/>
          <w:bCs/>
          <w:smallCaps/>
          <w:color w:val="000000"/>
        </w:rPr>
        <w:t xml:space="preserve">Taíno Cemieism and Taino Religion. </w:t>
      </w:r>
      <w:r>
        <w:rPr>
          <w:color w:val="000000"/>
        </w:rPr>
        <w:t xml:space="preserve">Taíno cosmology, religion and its rituals is described in </w:t>
      </w:r>
      <w:r>
        <w:rPr/>
        <w:t xml:space="preserve">Fray Ramón Pané’s </w:t>
      </w:r>
      <w:r>
        <w:rPr>
          <w:i/>
          <w:iCs/>
        </w:rPr>
        <w:t>An Account of the Antiquities of the Indians</w:t>
      </w:r>
      <w:r>
        <w:rPr/>
        <w:t>, the most important anthropological document on the Taíno that contains a wealth of information on this extinct culture. His commission from Columbus required him to record the Taíno beliefs and ceremonies as accurately as possible, and to that end he lived among the native Taíno population from 1493 to 1498. However, he was also a product of fifteenth century Roman Catholicism, and his primary goal was to convert the Taínos whom he regarded as heathens and idolaters. “[Some] were inclined to believe easily. But with others there is need for force and ingenuity because we are not all made of the same stuff. Although those people made a good beginning and a better end, there will be others who will begin well and afterwards will laugh at what has been taught them; with them there is need for force and punishment” (Pané p. 38).</w:t>
      </w:r>
    </w:p>
    <w:p>
      <w:pPr>
        <w:pStyle w:val="NormalWeb"/>
        <w:ind w:firstLine="720"/>
        <w:rPr/>
      </w:pPr>
      <w:r>
        <w:rPr/>
        <w:t xml:space="preserve">Pané was a Catalan </w:t>
      </w:r>
      <w:r>
        <w:rPr>
          <w:rStyle w:val="Notranslate"/>
        </w:rPr>
        <w:t xml:space="preserve">a </w:t>
      </w:r>
      <w:r>
        <w:rPr/>
        <w:t>Hieronymite</w:t>
      </w:r>
      <w:r>
        <w:rPr>
          <w:rStyle w:val="Notranslate"/>
        </w:rPr>
        <w:t xml:space="preserve"> monk of the Order of St. Jerome. These </w:t>
      </w:r>
      <w:r>
        <w:rP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Pané was a poor </w:t>
      </w:r>
      <w:r>
        <w:rPr/>
        <w:t>Hieronymite</w:t>
      </w:r>
      <w:r>
        <w:rPr>
          <w:rStyle w:val="Notranslate"/>
        </w:rPr>
        <w:t xml:space="preserve"> hermit, a Catalan peasant not of Castilian origins and was dismissed probably for these social reasons by the Spanish Dominican </w:t>
      </w:r>
      <w:r>
        <w:rPr/>
        <w:t xml:space="preserve">Bartolomé de Las Casas (ca. 1484– 18 July 1566) as a “simple man” with “limited faculties” (Pané p. 57), </w:t>
      </w:r>
      <w:r>
        <w:rPr>
          <w:rStyle w:val="Referencetext"/>
        </w:rPr>
        <w:t xml:space="preserve">whose efforts, </w:t>
      </w:r>
      <w:r>
        <w:rPr>
          <w:rStyle w:val="Notranslate"/>
        </w:rPr>
        <w:t xml:space="preserve"> </w:t>
      </w:r>
      <w:r>
        <w:rPr/>
        <w:t xml:space="preserve">“amounted to nothing more than to say the Ave María and Pater Noster to the Indians, and some words about there being a God in heaven who was the creator of things, according to what he was able to teach them with abundant flaws and in a muddled way” (Pané p. 57). However derogatory Las Casas’ criticisms of Pané are, Pané’s </w:t>
      </w:r>
      <w:r>
        <w:rPr>
          <w:i/>
          <w:iCs/>
        </w:rPr>
        <w:t>Account</w:t>
      </w:r>
      <w:r>
        <w:rPr/>
        <w:t xml:space="preserve"> is still the best source of information on the Taíno. </w:t>
      </w:r>
    </w:p>
    <w:p>
      <w:pPr>
        <w:pStyle w:val="Normal"/>
        <w:rPr>
          <w:b/>
          <w:b/>
        </w:rPr>
      </w:pPr>
      <w:r>
        <w:rPr>
          <w:b/>
        </w:rPr>
        <w:t>LC Classification: F 1909</w:t>
      </w:r>
    </w:p>
    <w:p>
      <w:pPr>
        <w:pStyle w:val="Normal"/>
        <w:rPr>
          <w:b/>
          <w:b/>
        </w:rPr>
      </w:pPr>
      <w:r>
        <w:rPr>
          <w:b/>
        </w:rPr>
        <w:t>Date or Time Horizon: 1000 CE</w:t>
      </w:r>
    </w:p>
    <w:p>
      <w:pPr>
        <w:pStyle w:val="Normal"/>
        <w:rPr>
          <w:b/>
          <w:b/>
        </w:rPr>
      </w:pPr>
      <w:r>
        <w:rPr>
          <w:b/>
        </w:rPr>
        <w:t xml:space="preserve">Geographical Area: </w:t>
      </w:r>
      <w:r>
        <w:rPr/>
        <w:t>From the Dominican Republic, i.e., Eastern Hispaniola</w:t>
      </w:r>
    </w:p>
    <w:p>
      <w:pPr>
        <w:pStyle w:val="Normal"/>
        <w:rPr>
          <w:b/>
          <w:b/>
        </w:rPr>
      </w:pPr>
      <w:r>
        <w:rPr>
          <w:b/>
        </w:rPr>
        <w:t>Map:</w:t>
      </w:r>
    </w:p>
    <w:p>
      <w:pPr>
        <w:pStyle w:val="Normal"/>
        <w:rPr>
          <w:b/>
          <w:b/>
        </w:rPr>
      </w:pPr>
      <w:r>
        <w:rPr>
          <w:b/>
        </w:rPr>
      </w:r>
    </w:p>
    <w:p>
      <w:pPr>
        <w:pStyle w:val="Normal"/>
        <w:rPr>
          <w:b/>
          <w:b/>
        </w:rPr>
      </w:pPr>
      <w:r>
        <w:rPr>
          <w:lang w:val="en-US" w:eastAsia="en-US"/>
        </w:rPr>
        <w:drawing>
          <wp:inline distT="0" distB="0" distL="0" distR="0">
            <wp:extent cx="5946775" cy="3241675"/>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6"/>
                    <a:srcRect l="-5" t="-9" r="-5" b="-9"/>
                    <a:stretch>
                      <a:fillRect/>
                    </a:stretch>
                  </pic:blipFill>
                  <pic:spPr bwMode="auto">
                    <a:xfrm>
                      <a:off x="0" y="0"/>
                      <a:ext cx="5946775" cy="3241675"/>
                    </a:xfrm>
                    <a:prstGeom prst="rect">
                      <a:avLst/>
                    </a:prstGeom>
                  </pic:spPr>
                </pic:pic>
              </a:graphicData>
            </a:graphic>
          </wp:inline>
        </w:drawing>
      </w:r>
    </w:p>
    <w:p>
      <w:pPr>
        <w:pStyle w:val="Normal"/>
        <w:rPr>
          <w:b/>
          <w:b/>
        </w:rPr>
      </w:pPr>
      <w:r>
        <w:rPr>
          <w:b/>
        </w:rPr>
        <w:t>Caribbean c 1500 after http://www.latinamericanstudies.org/maps/Ciboney-Taino-Carib-</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r>
        <w:rPr/>
        <w:t>It measures 7.5cm or 2.9".</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ind w:start="144" w:end="144" w:hanging="0"/>
        <w:rPr>
          <w:color w:val="000000"/>
          <w:szCs w:val="15"/>
        </w:rPr>
      </w:pPr>
      <w:r>
        <w:rPr>
          <w:color w:val="000000"/>
          <w:szCs w:val="15"/>
        </w:rPr>
        <w:t xml:space="preserve">Bullen, R. P. </w:t>
      </w:r>
    </w:p>
    <w:p>
      <w:pPr>
        <w:pStyle w:val="Normal"/>
        <w:ind w:start="144" w:end="144" w:hanging="0"/>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edited by L. S. Robinson, pp. 9-23. Fundacion Arqueologica, Antropologica e Historica de Puerto Rico, San Juan</w:t>
      </w:r>
    </w:p>
    <w:p>
      <w:pPr>
        <w:pStyle w:val="Normal"/>
        <w:ind w:start="144" w:end="144" w:hanging="0"/>
        <w:rPr>
          <w:color w:val="000000"/>
          <w:szCs w:val="15"/>
        </w:rPr>
      </w:pPr>
      <w:r>
        <w:rPr>
          <w:color w:val="000000"/>
          <w:szCs w:val="15"/>
        </w:rPr>
      </w:r>
    </w:p>
    <w:p>
      <w:pPr>
        <w:pStyle w:val="Normal"/>
        <w:ind w:start="144" w:end="144" w:hanging="0"/>
        <w:rPr>
          <w:color w:val="000000"/>
          <w:szCs w:val="15"/>
        </w:rPr>
      </w:pPr>
      <w:r>
        <w:rPr>
          <w:color w:val="000000"/>
          <w:szCs w:val="15"/>
        </w:rPr>
        <w:t xml:space="preserve">Callaghan, R. T. </w:t>
      </w:r>
    </w:p>
    <w:p>
      <w:pPr>
        <w:pStyle w:val="Normal"/>
        <w:ind w:start="144" w:end="144" w:hanging="0"/>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pPr>
        <w:pStyle w:val="Normal"/>
        <w:ind w:start="144" w:end="144" w:hanging="0"/>
        <w:rPr>
          <w:iCs/>
          <w:color w:val="000000"/>
          <w:szCs w:val="15"/>
        </w:rPr>
      </w:pPr>
      <w:r>
        <w:rPr>
          <w:iCs/>
          <w:color w:val="000000"/>
          <w:szCs w:val="15"/>
        </w:rPr>
      </w:r>
    </w:p>
    <w:p>
      <w:pPr>
        <w:pStyle w:val="Normal"/>
        <w:ind w:start="144" w:end="144" w:hanging="0"/>
        <w:rPr>
          <w:color w:val="000000"/>
          <w:szCs w:val="15"/>
        </w:rPr>
      </w:pPr>
      <w:r>
        <w:rPr>
          <w:color w:val="000000"/>
          <w:szCs w:val="15"/>
        </w:rPr>
        <w:t xml:space="preserve">1985, pp. 65-71, Puerto Rico. </w:t>
      </w:r>
    </w:p>
    <w:p>
      <w:pPr>
        <w:pStyle w:val="Normal"/>
        <w:ind w:start="144" w:end="144" w:hanging="0"/>
        <w:rPr>
          <w:color w:val="000000"/>
          <w:szCs w:val="15"/>
        </w:rPr>
      </w:pPr>
      <w:r>
        <w:rPr>
          <w:color w:val="000000"/>
          <w:szCs w:val="15"/>
        </w:rPr>
      </w:r>
    </w:p>
    <w:p>
      <w:pPr>
        <w:pStyle w:val="Normal"/>
        <w:ind w:start="144" w:end="144" w:hanging="0"/>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Coe, W. R., II </w:t>
      </w:r>
    </w:p>
    <w:p>
      <w:pPr>
        <w:pStyle w:val="Style14"/>
        <w:ind w:start="144" w:end="144" w:hanging="0"/>
        <w:rPr/>
      </w:pPr>
      <w:r>
        <w:rPr>
          <w:color w:val="000000"/>
          <w:sz w:val="24"/>
          <w:szCs w:val="15"/>
        </w:rPr>
        <w:t xml:space="preserve">1957 A Distinctive Artifact Common to Haiti and Central America. </w:t>
      </w:r>
      <w:r>
        <w:rPr>
          <w:iCs/>
          <w:color w:val="000000"/>
          <w:sz w:val="24"/>
          <w:szCs w:val="15"/>
        </w:rPr>
        <w:t xml:space="preserve">American Antiquity 22:280-282. </w:t>
      </w:r>
    </w:p>
    <w:p>
      <w:pPr>
        <w:pStyle w:val="Style14"/>
        <w:ind w:start="144" w:end="144" w:hanging="0"/>
        <w:rPr>
          <w:iCs/>
          <w:color w:val="000000"/>
          <w:sz w:val="24"/>
          <w:szCs w:val="15"/>
        </w:rPr>
      </w:pPr>
      <w:r>
        <w:rPr>
          <w:iCs/>
          <w:color w:val="000000"/>
          <w:sz w:val="24"/>
          <w:szCs w:val="15"/>
        </w:rPr>
      </w:r>
    </w:p>
    <w:p>
      <w:pPr>
        <w:pStyle w:val="Style14"/>
        <w:ind w:start="144" w:end="144" w:hanging="0"/>
        <w:rPr/>
      </w:pPr>
      <w:r>
        <w:rPr>
          <w:color w:val="000000"/>
          <w:sz w:val="24"/>
          <w:szCs w:val="15"/>
        </w:rPr>
        <w:t xml:space="preserve">Cruxent, J. M., and </w:t>
      </w:r>
      <w:r>
        <w:rPr>
          <w:color w:val="000000"/>
          <w:sz w:val="24"/>
          <w:szCs w:val="16"/>
        </w:rPr>
        <w:t xml:space="preserve">I. </w:t>
      </w:r>
      <w:r>
        <w:rPr>
          <w:color w:val="000000"/>
          <w:sz w:val="24"/>
          <w:szCs w:val="15"/>
        </w:rPr>
        <w:t xml:space="preserve">Rouse </w:t>
      </w:r>
    </w:p>
    <w:p>
      <w:pPr>
        <w:pStyle w:val="Style14"/>
        <w:ind w:start="144" w:end="144" w:hanging="0"/>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Gerrell, P. R., J. F. Scarry, and J. S. Dunbar </w:t>
      </w:r>
    </w:p>
    <w:p>
      <w:pPr>
        <w:pStyle w:val="Style14"/>
        <w:ind w:start="144" w:end="144" w:hanging="0"/>
        <w:rPr/>
      </w:pPr>
      <w:r>
        <w:rPr>
          <w:color w:val="000000"/>
          <w:sz w:val="24"/>
          <w:szCs w:val="15"/>
        </w:rPr>
        <w:t xml:space="preserve">1991 Analysis of Early Archaic Unifacial Adzes from North Florida. </w:t>
      </w:r>
      <w:r>
        <w:rPr>
          <w:iCs/>
          <w:color w:val="000000"/>
          <w:sz w:val="24"/>
          <w:szCs w:val="15"/>
        </w:rPr>
        <w:t>The Florida Archaeologist 44(1):3-16.</w:t>
      </w:r>
    </w:p>
    <w:p>
      <w:pPr>
        <w:pStyle w:val="Style14"/>
        <w:ind w:start="144" w:end="144" w:hanging="0"/>
        <w:rPr>
          <w:iCs/>
          <w:color w:val="000000"/>
          <w:sz w:val="24"/>
          <w:szCs w:val="15"/>
        </w:rPr>
      </w:pPr>
      <w:r>
        <w:rPr>
          <w:iCs/>
          <w:color w:val="000000"/>
          <w:sz w:val="24"/>
          <w:szCs w:val="15"/>
        </w:rPr>
      </w:r>
    </w:p>
    <w:p>
      <w:pPr>
        <w:pStyle w:val="Style14"/>
        <w:ind w:start="144" w:end="144" w:hanging="0"/>
        <w:rPr>
          <w:rStyle w:val="HTMLCite"/>
          <w:i w:val="false"/>
          <w:i w:val="false"/>
          <w:iCs w:val="false"/>
          <w:sz w:val="24"/>
        </w:rPr>
      </w:pPr>
      <w:r>
        <w:rPr>
          <w:rStyle w:val="HTMLCite"/>
          <w:sz w:val="24"/>
        </w:rPr>
        <w:t>Giménez Fernández, Manuel (1971). "Fray Bartolomé de Las Casas: A Biographical Sketch". In Friede, Juan; Keen, Benjamin (eds). Bartolomé de las Casas in History: Toward an Understanding of the Man and his Work. Collection spéciale: CER. DeKalb: Northern Illinois University Press. pp. 67–126.</w:t>
      </w:r>
    </w:p>
    <w:p>
      <w:pPr>
        <w:pStyle w:val="Style14"/>
        <w:ind w:start="144" w:end="144" w:hanging="0"/>
        <w:rPr>
          <w:rStyle w:val="HTMLCite"/>
          <w:i w:val="false"/>
          <w:i w:val="false"/>
          <w:iCs w:val="false"/>
          <w:color w:val="000000"/>
          <w:sz w:val="24"/>
          <w:szCs w:val="15"/>
        </w:rPr>
      </w:pPr>
      <w:r>
        <w:rPr/>
      </w:r>
    </w:p>
    <w:p>
      <w:pPr>
        <w:pStyle w:val="Style14"/>
        <w:ind w:start="144" w:end="144" w:hanging="0"/>
        <w:rPr>
          <w:color w:val="000000"/>
          <w:sz w:val="24"/>
          <w:szCs w:val="15"/>
        </w:rPr>
      </w:pPr>
      <w:r>
        <w:rPr>
          <w:color w:val="000000"/>
          <w:sz w:val="24"/>
          <w:szCs w:val="15"/>
        </w:rPr>
        <w:t xml:space="preserve">Hester, T. R. </w:t>
      </w:r>
    </w:p>
    <w:p>
      <w:pPr>
        <w:pStyle w:val="Style14"/>
        <w:ind w:start="144" w:end="144" w:hanging="0"/>
        <w:rPr>
          <w:color w:val="000000"/>
          <w:sz w:val="24"/>
          <w:szCs w:val="15"/>
        </w:rPr>
      </w:pPr>
      <w:r>
        <w:rPr>
          <w:color w:val="000000"/>
          <w:sz w:val="24"/>
          <w:szCs w:val="15"/>
        </w:rPr>
        <w:t xml:space="preserve">1994a An Introduction to the Colha Preceramic Project. </w:t>
      </w:r>
    </w:p>
    <w:p>
      <w:pPr>
        <w:pStyle w:val="Style14"/>
        <w:ind w:start="144" w:end="144" w:hanging="0"/>
        <w:rPr>
          <w:color w:val="000000"/>
          <w:sz w:val="24"/>
          <w:szCs w:val="15"/>
        </w:rPr>
      </w:pPr>
      <w:r>
        <w:rPr>
          <w:color w:val="000000"/>
          <w:sz w:val="24"/>
          <w:szCs w:val="15"/>
        </w:rPr>
        <w:t xml:space="preserve">Paper presented at the 59th Annual Meeting of the Society for American Archaeology, Anaheim.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pPr>
      <w:r>
        <w:rPr>
          <w:color w:val="000000"/>
          <w:sz w:val="24"/>
          <w:szCs w:val="15"/>
        </w:rPr>
        <w:t xml:space="preserve">1994b The Archaeological Investigations of the Colha Project, 1983 and 1984. In </w:t>
      </w:r>
      <w:r>
        <w:rPr>
          <w:iCs/>
          <w:color w:val="000000"/>
          <w:sz w:val="24"/>
          <w:szCs w:val="15"/>
        </w:rPr>
        <w:t xml:space="preserve">Continuing Archaeology at Colha, Belize, </w:t>
      </w:r>
      <w:r>
        <w:rPr>
          <w:color w:val="000000"/>
          <w:sz w:val="24"/>
          <w:szCs w:val="15"/>
        </w:rPr>
        <w:t xml:space="preserve">edited by T. R. Hester, H. J. Shafer, and J. D. Eaton, pp. 1-9. Texas Archaeological Research Laboratory,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J. Shafer, and T. C. Kelly </w:t>
      </w:r>
    </w:p>
    <w:p>
      <w:pPr>
        <w:pStyle w:val="Style14"/>
        <w:ind w:start="144" w:end="144" w:hanging="0"/>
        <w:rPr>
          <w:color w:val="000000"/>
          <w:sz w:val="24"/>
          <w:szCs w:val="15"/>
        </w:rPr>
      </w:pPr>
      <w:r>
        <w:rPr>
          <w:color w:val="000000"/>
          <w:sz w:val="24"/>
          <w:szCs w:val="15"/>
        </w:rPr>
        <w:t xml:space="preserve">1980 A Preliminary Note on Artifacts from Lowe Ranch: </w:t>
      </w:r>
    </w:p>
    <w:p>
      <w:pPr>
        <w:pStyle w:val="Style14"/>
        <w:ind w:start="144" w:end="144" w:hanging="0"/>
        <w:jc w:val="both"/>
        <w:rPr/>
      </w:pPr>
      <w:r>
        <w:rPr>
          <w:color w:val="000000"/>
          <w:sz w:val="24"/>
          <w:szCs w:val="15"/>
        </w:rPr>
        <w:t xml:space="preserve">A Preceramic Site in Belize. In </w:t>
      </w:r>
      <w:r>
        <w:rPr>
          <w:iCs/>
          <w:color w:val="000000"/>
          <w:sz w:val="24"/>
          <w:szCs w:val="15"/>
        </w:rPr>
        <w:t xml:space="preserve">The Colha Project Second Season, 1980 Interim Report, </w:t>
      </w:r>
      <w:r>
        <w:rPr>
          <w:color w:val="000000"/>
          <w:sz w:val="24"/>
          <w:szCs w:val="15"/>
        </w:rPr>
        <w:t xml:space="preserve">edited by T. R.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 xml:space="preserve">Hester, J. D. Eaton, and H. J. Shafer. </w:t>
      </w:r>
    </w:p>
    <w:p>
      <w:pPr>
        <w:pStyle w:val="Style14"/>
        <w:ind w:start="144" w:end="144" w:hanging="0"/>
        <w:jc w:val="both"/>
        <w:rPr>
          <w:color w:val="000000"/>
          <w:sz w:val="24"/>
          <w:szCs w:val="15"/>
        </w:rPr>
      </w:pPr>
      <w:r>
        <w:rPr>
          <w:color w:val="000000"/>
          <w:sz w:val="24"/>
          <w:szCs w:val="15"/>
        </w:rPr>
        <w:t xml:space="preserve">1992. Center for Archaeological Research, University of Texas, San Antonio, and Centro Studi Ricerche Ligabue, Venezia. San Antonio.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Iceland, D. Hudler, R. Brewington, H. J. Shafer, and J. Lohse </w:t>
      </w:r>
    </w:p>
    <w:p>
      <w:pPr>
        <w:pStyle w:val="Style14"/>
        <w:ind w:start="144" w:end="144" w:hanging="0"/>
        <w:jc w:val="both"/>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Iceland, D. Hudler, and H. J. Shafer </w:t>
      </w:r>
    </w:p>
    <w:p>
      <w:pPr>
        <w:pStyle w:val="Style14"/>
        <w:ind w:start="144" w:end="144" w:hanging="0"/>
        <w:rPr/>
      </w:pPr>
      <w:r>
        <w:rPr>
          <w:color w:val="000000"/>
          <w:sz w:val="24"/>
          <w:szCs w:val="15"/>
        </w:rPr>
        <w:t xml:space="preserve">1996 The Colha Preceramic Project. </w:t>
      </w:r>
      <w:r>
        <w:rPr>
          <w:iCs/>
          <w:color w:val="000000"/>
          <w:sz w:val="24"/>
          <w:szCs w:val="15"/>
        </w:rPr>
        <w:t xml:space="preserve">Mexicon </w:t>
      </w:r>
      <w:r>
        <w:rPr>
          <w:color w:val="000000"/>
          <w:sz w:val="24"/>
          <w:szCs w:val="15"/>
        </w:rPr>
        <w:t xml:space="preserve">XVIII </w:t>
      </w:r>
      <w:r>
        <w:rPr>
          <w:color w:val="000000"/>
          <w:w w:val="110"/>
          <w:sz w:val="24"/>
          <w:szCs w:val="14"/>
        </w:rPr>
        <w:t xml:space="preserve">(3): </w:t>
      </w:r>
      <w:r>
        <w:rPr>
          <w:color w:val="000000"/>
          <w:sz w:val="24"/>
          <w:szCs w:val="15"/>
        </w:rPr>
        <w:t xml:space="preserve">50.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Hudler, D. B., T. R. Hester, and H. B. Iceland </w:t>
      </w:r>
    </w:p>
    <w:p>
      <w:pPr>
        <w:pStyle w:val="Style14"/>
        <w:ind w:start="144" w:end="144" w:hanging="0"/>
        <w:rPr>
          <w:color w:val="000000"/>
          <w:sz w:val="24"/>
          <w:szCs w:val="15"/>
        </w:rPr>
      </w:pPr>
      <w:r>
        <w:rPr>
          <w:color w:val="000000"/>
          <w:sz w:val="24"/>
          <w:szCs w:val="15"/>
        </w:rPr>
        <w:t xml:space="preserve">1995 The Colha Preceramic Project: A Status Report. </w:t>
      </w:r>
    </w:p>
    <w:p>
      <w:pPr>
        <w:pStyle w:val="Style14"/>
        <w:ind w:start="144" w:end="144" w:hanging="0"/>
        <w:rPr>
          <w:color w:val="000000"/>
          <w:sz w:val="24"/>
          <w:szCs w:val="15"/>
        </w:rPr>
      </w:pPr>
      <w:r>
        <w:rPr>
          <w:color w:val="000000"/>
          <w:sz w:val="24"/>
          <w:szCs w:val="15"/>
        </w:rPr>
        <w:t xml:space="preserve">Paper presented at the 60th Annual Meeting of the Society for American Archaeology, Minneapolis.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Iceland, H. B., and T. R. Hester </w:t>
      </w:r>
    </w:p>
    <w:p>
      <w:pPr>
        <w:pStyle w:val="Style14"/>
        <w:ind w:start="144" w:end="144" w:hanging="0"/>
        <w:rPr>
          <w:color w:val="000000"/>
          <w:sz w:val="24"/>
          <w:szCs w:val="15"/>
        </w:rPr>
      </w:pPr>
      <w:r>
        <w:rPr>
          <w:color w:val="000000"/>
          <w:sz w:val="24"/>
          <w:szCs w:val="15"/>
        </w:rPr>
        <w:t xml:space="preserve">1996a The Colha Preceramic Project: A Status Report. </w:t>
      </w:r>
    </w:p>
    <w:p>
      <w:pPr>
        <w:pStyle w:val="Style14"/>
        <w:ind w:start="144" w:end="144" w:hanging="0"/>
        <w:rPr>
          <w:color w:val="000000"/>
          <w:sz w:val="24"/>
          <w:szCs w:val="15"/>
        </w:rPr>
      </w:pPr>
      <w:r>
        <w:rPr>
          <w:color w:val="000000"/>
          <w:sz w:val="24"/>
          <w:szCs w:val="15"/>
        </w:rPr>
        <w:t xml:space="preserve">Paper presented at the 61st Annual Meeting of the Society for American Archaeology, New Orleans.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 xml:space="preserve">1996b The Earliest Maya? Origins of Sedentism and Agriculture in the Maya Lowlands. Preprints of the XIII International Congress of the Prehistoric and Protohistoric Sciences, Forli, Italy, September 1996, in press.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Iceland, H. B., T. R. Hester, H. 1. Shafer, and D. Hudler </w:t>
      </w:r>
    </w:p>
    <w:p>
      <w:pPr>
        <w:pStyle w:val="Style14"/>
        <w:ind w:start="144" w:end="144" w:hanging="0"/>
        <w:rPr/>
      </w:pPr>
      <w:r>
        <w:rPr>
          <w:color w:val="000000"/>
          <w:sz w:val="24"/>
          <w:szCs w:val="15"/>
        </w:rPr>
        <w:t xml:space="preserve">1995 The Colha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Jacob, J. S. </w:t>
      </w:r>
    </w:p>
    <w:p>
      <w:pPr>
        <w:pStyle w:val="Style14"/>
        <w:ind w:start="144" w:end="144" w:hanging="0"/>
        <w:jc w:val="both"/>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Jones, J. G. </w:t>
      </w:r>
    </w:p>
    <w:p>
      <w:pPr>
        <w:pStyle w:val="Style14"/>
        <w:ind w:start="144" w:end="144" w:hanging="0"/>
        <w:jc w:val="both"/>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Kelly, T. C. </w:t>
      </w:r>
    </w:p>
    <w:p>
      <w:pPr>
        <w:pStyle w:val="Style14"/>
        <w:ind w:start="144" w:end="144" w:hanging="0"/>
        <w:rPr>
          <w:color w:val="000000"/>
          <w:sz w:val="24"/>
          <w:szCs w:val="15"/>
        </w:rPr>
      </w:pPr>
      <w:r>
        <w:rPr>
          <w:color w:val="000000"/>
          <w:sz w:val="24"/>
          <w:szCs w:val="15"/>
        </w:rPr>
        <w:t xml:space="preserve">1993 Preceramic Projectile-Point Typology in Belize. </w:t>
      </w:r>
    </w:p>
    <w:p>
      <w:pPr>
        <w:pStyle w:val="Style14"/>
        <w:ind w:start="144" w:end="144" w:hanging="0"/>
        <w:rPr>
          <w:iCs/>
          <w:color w:val="000000"/>
          <w:sz w:val="24"/>
          <w:szCs w:val="15"/>
        </w:rPr>
      </w:pPr>
      <w:r>
        <w:rPr>
          <w:iCs/>
          <w:color w:val="000000"/>
          <w:sz w:val="24"/>
          <w:szCs w:val="15"/>
        </w:rPr>
        <w:t xml:space="preserve">Ancient Mesoamerica 4:205-227. </w:t>
      </w:r>
    </w:p>
    <w:p>
      <w:pPr>
        <w:pStyle w:val="Style14"/>
        <w:ind w:start="144" w:end="144" w:hanging="0"/>
        <w:rPr>
          <w:iCs/>
          <w:color w:val="000000"/>
          <w:sz w:val="24"/>
          <w:szCs w:val="15"/>
        </w:rPr>
      </w:pPr>
      <w:r>
        <w:rPr>
          <w:iCs/>
          <w:color w:val="000000"/>
          <w:sz w:val="24"/>
          <w:szCs w:val="15"/>
        </w:rPr>
      </w:r>
    </w:p>
    <w:p>
      <w:pPr>
        <w:pStyle w:val="Style14"/>
        <w:ind w:start="144" w:end="144" w:hanging="0"/>
        <w:rPr>
          <w:color w:val="000000"/>
          <w:sz w:val="24"/>
          <w:szCs w:val="15"/>
        </w:rPr>
      </w:pPr>
      <w:r>
        <w:rPr>
          <w:color w:val="000000"/>
          <w:sz w:val="24"/>
          <w:szCs w:val="15"/>
        </w:rPr>
        <w:t xml:space="preserve">Lohse, 1. C. </w:t>
      </w:r>
    </w:p>
    <w:p>
      <w:pPr>
        <w:pStyle w:val="Style14"/>
        <w:ind w:start="144" w:end="144" w:hanging="0"/>
        <w:jc w:val="both"/>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r>
        <w:rPr>
          <w:iCs/>
          <w:color w:val="000000"/>
          <w:sz w:val="24"/>
          <w:szCs w:val="15"/>
        </w:rPr>
        <w:t xml:space="preserve">Colha. Belize: A Reconsideration of a Lowland Archaic Deposit. </w:t>
      </w:r>
      <w:r>
        <w:rPr>
          <w:color w:val="000000"/>
          <w:sz w:val="24"/>
          <w:szCs w:val="15"/>
        </w:rPr>
        <w:t xml:space="preserve">Unpublished M.A. Thesis, Department of Anthropology,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MacNeish, R, S., and A. Nelken-Turner </w:t>
      </w:r>
    </w:p>
    <w:p>
      <w:pPr>
        <w:pStyle w:val="Style14"/>
        <w:ind w:start="144" w:end="144" w:hanging="0"/>
        <w:jc w:val="both"/>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pPr>
        <w:pStyle w:val="Style14"/>
        <w:ind w:start="144" w:end="144" w:hanging="0"/>
        <w:rPr>
          <w:color w:val="000000"/>
          <w:sz w:val="24"/>
          <w:szCs w:val="15"/>
        </w:rPr>
      </w:pPr>
      <w:r>
        <w:rPr>
          <w:color w:val="000000"/>
          <w:sz w:val="24"/>
          <w:szCs w:val="15"/>
        </w:rPr>
      </w:r>
    </w:p>
    <w:p>
      <w:pPr>
        <w:pStyle w:val="Style14"/>
        <w:ind w:start="144" w:end="144" w:hanging="0"/>
        <w:rPr/>
      </w:pPr>
      <w:r>
        <w:rPr>
          <w:color w:val="000000"/>
          <w:sz w:val="24"/>
          <w:szCs w:val="15"/>
        </w:rPr>
        <w:t xml:space="preserve">MacNeish, R. S., 1. K. Wilkerson, and A. Nelken-Turner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pPr>
        <w:pStyle w:val="Normal"/>
        <w:rPr>
          <w:color w:val="000000"/>
          <w:sz w:val="24"/>
          <w:szCs w:val="19"/>
        </w:rPr>
      </w:pPr>
      <w:r>
        <w:rPr>
          <w:color w:val="000000"/>
          <w:sz w:val="24"/>
          <w:szCs w:val="19"/>
        </w:rPr>
      </w:r>
    </w:p>
    <w:p>
      <w:pPr>
        <w:pStyle w:val="Style14"/>
        <w:ind w:start="144" w:end="144" w:hanging="0"/>
        <w:rPr>
          <w:color w:val="000000"/>
          <w:sz w:val="24"/>
          <w:szCs w:val="15"/>
        </w:rPr>
      </w:pPr>
      <w:r>
        <w:rPr>
          <w:color w:val="000000"/>
          <w:sz w:val="24"/>
          <w:szCs w:val="15"/>
        </w:rPr>
        <w:t>Mendez, Eugenio Fernandez. 1957. Crónicas de Puerto Ricao desde la conquista hasta nuestros dias. San Juan, Ediciones del Gobierno estado Libre Asociado de Puerto Rico.</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Moore, C. </w:t>
      </w:r>
    </w:p>
    <w:p>
      <w:pPr>
        <w:pStyle w:val="Style14"/>
        <w:ind w:start="144" w:end="144" w:hanging="0"/>
        <w:jc w:val="both"/>
        <w:rPr/>
      </w:pPr>
      <w:r>
        <w:rPr>
          <w:color w:val="000000"/>
          <w:sz w:val="24"/>
          <w:szCs w:val="15"/>
        </w:rPr>
        <w:t xml:space="preserve">1991 Cabaret: Lithic Workshop Sites in Haiti. In </w:t>
      </w:r>
      <w:r>
        <w:rPr>
          <w:iCs/>
          <w:color w:val="000000"/>
          <w:sz w:val="24"/>
          <w:szCs w:val="15"/>
        </w:rPr>
        <w:t>Pro</w:t>
        <w:softHyphen/>
        <w:t xml:space="preserve">ceedings of the Thirteenth Congress of the International Association for Caribbean Archaeology, </w:t>
      </w:r>
      <w:r>
        <w:rPr>
          <w:color w:val="000000"/>
          <w:sz w:val="24"/>
          <w:szCs w:val="15"/>
        </w:rPr>
        <w:t xml:space="preserve">edited by 1. Haviser and E. N. Ayubi, pp. 92-104. Reports of the Archaeological-Anthropological Institute of the Netherlands Antilles, No.9. Willemstad, Curacao.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Oliver, J. R. 2009. Caciques and cemi idols: the web spun by Taíno rules between Hispaniola and Puerto Rico. Tuscaloosa: University of Alabama Press.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sz w:val="24"/>
        </w:rPr>
        <w:t xml:space="preserve">Pané, Fray Ramón. </w:t>
      </w:r>
      <w:r>
        <w:rPr>
          <w:i/>
          <w:iCs/>
          <w:sz w:val="24"/>
        </w:rPr>
        <w:t>An Account of the Antiquities of the Indians.</w:t>
      </w:r>
      <w:r>
        <w:rPr>
          <w:sz w:val="24"/>
        </w:rPr>
        <w:t xml:space="preserve"> Trans. José Juan Arrom and Susan C. Griswold. Durham: Duke UP, 1999.</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Pantel, A. G. </w:t>
      </w:r>
    </w:p>
    <w:p>
      <w:pPr>
        <w:pStyle w:val="Style14"/>
        <w:ind w:start="144" w:end="144" w:hanging="0"/>
        <w:jc w:val="both"/>
        <w:rPr>
          <w:color w:val="000000"/>
          <w:sz w:val="24"/>
          <w:szCs w:val="15"/>
        </w:rPr>
      </w:pPr>
      <w:r>
        <w:rPr>
          <w:color w:val="000000"/>
          <w:sz w:val="24"/>
          <w:szCs w:val="15"/>
        </w:rPr>
        <w:t xml:space="preserve">1988 Precolumbian Flaked Stone Assemblages in the West Indies. Ph.D. dissertation, University of Tennessee. University Microfilms, Ann Arbor. </w:t>
      </w:r>
    </w:p>
    <w:p>
      <w:pPr>
        <w:pStyle w:val="Style14"/>
        <w:ind w:start="144" w:end="144" w:hanging="0"/>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pPr>
        <w:pStyle w:val="Style14"/>
        <w:ind w:start="144" w:end="144" w:hanging="0"/>
        <w:jc w:val="both"/>
        <w:rPr/>
      </w:pPr>
      <w:r>
        <w:rPr>
          <w:color w:val="000000"/>
          <w:sz w:val="24"/>
          <w:szCs w:val="15"/>
        </w:rPr>
        <w:t xml:space="preserve">1994 Prismatic Blade Technologies in North America. In </w:t>
      </w:r>
      <w:r>
        <w:rPr>
          <w:iCs/>
          <w:color w:val="000000"/>
          <w:sz w:val="24"/>
          <w:szCs w:val="15"/>
        </w:rPr>
        <w:t xml:space="preserve">Organization of North American Prehistoric Chipped </w:t>
        <w:softHyphen/>
        <w:t xml:space="preserve">Stone Tool Technologies, </w:t>
      </w:r>
      <w:r>
        <w:rPr>
          <w:color w:val="000000"/>
          <w:sz w:val="24"/>
          <w:szCs w:val="15"/>
        </w:rPr>
        <w:t xml:space="preserve">edited by P. 1. Carr, pp. 87-98. Archaeological Series NO.7. International Monographs in Prehistory, Ann Arbor.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Peterson, J. B., C. L. Hofman, and L. A. Curet. 2004. Time and culture: chronology and taxonomy in the eastern Caribbean and the Guianas, in A. Delpuech and C. L. Hofman, eds., Late Ceramic age societies in the eastern Caribbean (British Archaeological Reports international series 1273): 17-32. Oxford: Archaeopress.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Rouse, I. </w:t>
      </w:r>
    </w:p>
    <w:p>
      <w:pPr>
        <w:pStyle w:val="Style14"/>
        <w:ind w:start="144" w:end="144" w:hanging="0"/>
        <w:jc w:val="both"/>
        <w:rPr/>
      </w:pPr>
      <w:r>
        <w:rPr>
          <w:iCs/>
          <w:color w:val="000000"/>
          <w:w w:val="92"/>
          <w:sz w:val="24"/>
          <w:szCs w:val="14"/>
        </w:rPr>
        <w:t xml:space="preserve">1941 </w:t>
      </w:r>
      <w:r>
        <w:rPr>
          <w:iCs/>
          <w:color w:val="000000"/>
          <w:sz w:val="24"/>
          <w:szCs w:val="15"/>
        </w:rPr>
        <w:t xml:space="preserve">Culture of the Ft. Liberti Region, Haiti. </w:t>
      </w:r>
      <w:r>
        <w:rPr>
          <w:color w:val="000000"/>
          <w:sz w:val="24"/>
          <w:szCs w:val="15"/>
        </w:rPr>
        <w:t xml:space="preserve">Yale University Publications in Anthropology, No. 26. New Haven. </w:t>
      </w:r>
    </w:p>
    <w:p>
      <w:pPr>
        <w:pStyle w:val="Style14"/>
        <w:ind w:start="144" w:end="144" w:hanging="0"/>
        <w:jc w:val="both"/>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pPr>
        <w:pStyle w:val="Style14"/>
        <w:ind w:start="144" w:end="144" w:hanging="0"/>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pPr>
        <w:pStyle w:val="Style14"/>
        <w:ind w:start="144" w:end="144" w:hanging="0"/>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pPr>
        <w:pStyle w:val="Style14"/>
        <w:ind w:start="144" w:end="144" w:hanging="0"/>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Shafer, H. </w:t>
      </w:r>
    </w:p>
    <w:p>
      <w:pPr>
        <w:pStyle w:val="Style14"/>
        <w:ind w:start="144" w:end="144" w:hanging="0"/>
        <w:jc w:val="both"/>
        <w:rPr/>
      </w:pPr>
      <w:r>
        <w:rPr>
          <w:color w:val="000000"/>
          <w:sz w:val="24"/>
          <w:szCs w:val="15"/>
        </w:rPr>
        <w:t xml:space="preserve">1991 Late Preclassic Formal Tool Production at Colha,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Shafer, H. 1., T. R. Hester, and T. C. Kelly </w:t>
      </w:r>
    </w:p>
    <w:p>
      <w:pPr>
        <w:pStyle w:val="Style14"/>
        <w:ind w:start="144" w:end="144" w:hanging="0"/>
        <w:jc w:val="both"/>
        <w:rPr/>
      </w:pPr>
      <w:r>
        <w:rPr>
          <w:color w:val="000000"/>
          <w:sz w:val="24"/>
          <w:szCs w:val="15"/>
        </w:rPr>
        <w:t xml:space="preserve">1980 Notes on the Sand Hill Site. In </w:t>
      </w:r>
      <w:r>
        <w:rPr>
          <w:iCs/>
          <w:color w:val="000000"/>
          <w:sz w:val="24"/>
          <w:szCs w:val="15"/>
        </w:rPr>
        <w:t xml:space="preserve">The Colha Project Second Season, 1980 Interim Report, </w:t>
      </w:r>
      <w:r>
        <w:rPr>
          <w:color w:val="000000"/>
          <w:sz w:val="24"/>
          <w:szCs w:val="15"/>
        </w:rPr>
        <w:t xml:space="preserve">edited by T. R. Hester, 1. D. Eaton, and H. 1. Shafer, pp. 233-240. Center for Archaeological Research, University of Texas, San Antonio, and Centro Studi Ricerche Ligabue. Venezia.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Steward. 1. H. </w:t>
      </w:r>
    </w:p>
    <w:p>
      <w:pPr>
        <w:pStyle w:val="Style14"/>
        <w:ind w:start="144" w:end="144" w:hanging="0"/>
        <w:jc w:val="both"/>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Stuiver, M., and R. S. Kra </w:t>
      </w:r>
    </w:p>
    <w:p>
      <w:pPr>
        <w:pStyle w:val="Style14"/>
        <w:ind w:start="144" w:end="144" w:hanging="0"/>
        <w:jc w:val="both"/>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pPr>
        <w:pStyle w:val="Style14"/>
        <w:ind w:start="144" w:end="144" w:hanging="0"/>
        <w:rPr>
          <w:color w:val="000000"/>
          <w:sz w:val="24"/>
          <w:szCs w:val="15"/>
        </w:rPr>
      </w:pPr>
      <w:r>
        <w:rPr>
          <w:color w:val="000000"/>
          <w:sz w:val="24"/>
          <w:szCs w:val="15"/>
        </w:rPr>
      </w:r>
    </w:p>
    <w:p>
      <w:pPr>
        <w:pStyle w:val="Style14"/>
        <w:ind w:start="144" w:end="144" w:hanging="0"/>
        <w:rPr/>
      </w:pPr>
      <w:r>
        <w:rPr>
          <w:color w:val="000000"/>
          <w:sz w:val="24"/>
          <w:szCs w:val="15"/>
        </w:rPr>
        <w:t xml:space="preserve">Stokes, A. </w:t>
      </w:r>
      <w:r>
        <w:rPr>
          <w:iCs/>
          <w:color w:val="000000"/>
          <w:w w:val="83"/>
          <w:sz w:val="24"/>
          <w:szCs w:val="23"/>
        </w:rPr>
        <w:t xml:space="preserve">v.. </w:t>
      </w:r>
      <w:r>
        <w:rPr>
          <w:color w:val="000000"/>
          <w:sz w:val="24"/>
          <w:szCs w:val="15"/>
        </w:rPr>
        <w:t xml:space="preserve">and W. F. Keegan </w:t>
      </w:r>
    </w:p>
    <w:p>
      <w:pPr>
        <w:pStyle w:val="Style14"/>
        <w:ind w:start="144" w:end="144" w:hanging="0"/>
        <w:jc w:val="both"/>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pPr>
        <w:pStyle w:val="Style14"/>
        <w:ind w:start="144" w:end="144" w:hanging="0"/>
        <w:jc w:val="both"/>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Veloz Maggiolo, M. </w:t>
      </w:r>
    </w:p>
    <w:p>
      <w:pPr>
        <w:pStyle w:val="Style14"/>
        <w:ind w:start="144" w:end="144" w:hanging="0"/>
        <w:jc w:val="both"/>
        <w:rPr/>
      </w:pPr>
      <w:r>
        <w:rPr>
          <w:iCs/>
          <w:color w:val="000000"/>
          <w:w w:val="92"/>
          <w:sz w:val="24"/>
          <w:szCs w:val="14"/>
        </w:rPr>
        <w:t xml:space="preserve">1976 </w:t>
      </w:r>
      <w:r>
        <w:rPr>
          <w:iCs/>
          <w:color w:val="000000"/>
          <w:sz w:val="24"/>
          <w:szCs w:val="15"/>
        </w:rPr>
        <w:t>Medioambiente y adaptacion humana en La prehis</w:t>
        <w:softHyphen/>
        <w:t xml:space="preserve">toria de Santo Domingo. </w:t>
      </w:r>
      <w:r>
        <w:rPr>
          <w:color w:val="000000"/>
          <w:sz w:val="24"/>
          <w:szCs w:val="15"/>
        </w:rPr>
        <w:t xml:space="preserve">Universidad Autnoma de Santo Domingo, Santo Domingo, Republica Dominicana.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Veloz Maggiolo, M., and B. Vega </w:t>
      </w:r>
    </w:p>
    <w:p>
      <w:pPr>
        <w:pStyle w:val="Style14"/>
        <w:ind w:start="144" w:end="144" w:hanging="0"/>
        <w:rPr>
          <w:color w:val="000000"/>
          <w:sz w:val="24"/>
          <w:szCs w:val="15"/>
        </w:rPr>
      </w:pPr>
      <w:r>
        <w:rPr>
          <w:color w:val="000000"/>
          <w:sz w:val="24"/>
          <w:szCs w:val="15"/>
        </w:rPr>
        <w:t xml:space="preserve">1982 The Antillean Pre-ceramic: A New Approximation. </w:t>
      </w:r>
    </w:p>
    <w:p>
      <w:pPr>
        <w:pStyle w:val="Style14"/>
        <w:ind w:start="144" w:end="144" w:hanging="0"/>
        <w:rPr/>
      </w:pPr>
      <w:r>
        <w:rPr>
          <w:iCs/>
          <w:color w:val="000000"/>
          <w:sz w:val="24"/>
          <w:szCs w:val="15"/>
        </w:rPr>
        <w:t xml:space="preserve">Journal of New World Archaeology </w:t>
      </w:r>
      <w:r>
        <w:rPr>
          <w:iCs/>
          <w:color w:val="000000"/>
          <w:w w:val="92"/>
          <w:sz w:val="24"/>
          <w:szCs w:val="14"/>
        </w:rPr>
        <w:t xml:space="preserve">5(2):33--44. </w:t>
      </w:r>
    </w:p>
    <w:p>
      <w:pPr>
        <w:pStyle w:val="Style14"/>
        <w:ind w:start="144" w:end="144" w:hanging="0"/>
        <w:rPr>
          <w:iCs/>
          <w:color w:val="000000"/>
          <w:w w:val="92"/>
          <w:sz w:val="24"/>
          <w:szCs w:val="15"/>
        </w:rPr>
      </w:pPr>
      <w:r>
        <w:rPr>
          <w:iCs/>
          <w:color w:val="000000"/>
          <w:w w:val="92"/>
          <w:sz w:val="24"/>
          <w:szCs w:val="15"/>
        </w:rPr>
      </w:r>
    </w:p>
    <w:p>
      <w:pPr>
        <w:pStyle w:val="Style14"/>
        <w:ind w:start="144" w:end="144" w:hanging="0"/>
        <w:rPr>
          <w:color w:val="000000"/>
          <w:sz w:val="24"/>
          <w:szCs w:val="15"/>
        </w:rPr>
      </w:pPr>
      <w:r>
        <w:rPr>
          <w:color w:val="000000"/>
          <w:sz w:val="24"/>
          <w:szCs w:val="15"/>
        </w:rPr>
        <w:t xml:space="preserve">Wilson, S. M. </w:t>
      </w:r>
    </w:p>
    <w:p>
      <w:pPr>
        <w:pStyle w:val="Style14"/>
        <w:ind w:start="144" w:end="144" w:hanging="0"/>
        <w:rPr>
          <w:color w:val="000000"/>
          <w:sz w:val="24"/>
          <w:szCs w:val="15"/>
        </w:rPr>
      </w:pPr>
      <w:r>
        <w:rPr>
          <w:color w:val="000000"/>
          <w:sz w:val="24"/>
          <w:szCs w:val="15"/>
        </w:rPr>
        <w:t xml:space="preserve">1996 The Rise of Complex Societies in the Caribbean. </w:t>
      </w:r>
    </w:p>
    <w:p>
      <w:pPr>
        <w:pStyle w:val="Style14"/>
        <w:ind w:start="144" w:end="144" w:hanging="0"/>
        <w:jc w:val="both"/>
        <w:rPr>
          <w:color w:val="000000"/>
          <w:sz w:val="24"/>
          <w:szCs w:val="19"/>
        </w:rPr>
      </w:pPr>
      <w:r>
        <w:rPr>
          <w:color w:val="000000"/>
          <w:sz w:val="24"/>
        </w:rPr>
        <w:t xml:space="preserve">Preprints of the XIII International Congress of the Prehistoric and Proto historic Sciences, Forlf, Italy. September 1996. </w:t>
      </w:r>
    </w:p>
    <w:p>
      <w:pPr>
        <w:pStyle w:val="Normal"/>
        <w:ind w:start="144" w:end="144" w:hanging="0"/>
        <w:rPr>
          <w:color w:val="000000"/>
          <w:w w:val="114"/>
          <w:sz w:val="24"/>
          <w:szCs w:val="20"/>
        </w:rPr>
      </w:pPr>
      <w:r>
        <w:rPr>
          <w:color w:val="000000"/>
          <w:w w:val="114"/>
          <w:sz w:val="24"/>
          <w:szCs w:val="20"/>
        </w:rPr>
      </w:r>
    </w:p>
    <w:p>
      <w:pPr>
        <w:pStyle w:val="Normal"/>
        <w:ind w:start="144" w:end="144" w:hanging="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pPr>
        <w:pStyle w:val="Style14"/>
        <w:ind w:start="144" w:end="144" w:hanging="0"/>
        <w:rPr>
          <w:color w:val="000000"/>
          <w:w w:val="114"/>
          <w:sz w:val="24"/>
          <w:szCs w:val="15"/>
        </w:rPr>
      </w:pPr>
      <w:r>
        <w:rPr>
          <w:color w:val="000000"/>
          <w:w w:val="114"/>
          <w:sz w:val="24"/>
          <w:szCs w:val="15"/>
        </w:rPr>
      </w:r>
    </w:p>
    <w:p>
      <w:pPr>
        <w:pStyle w:val="Style14"/>
        <w:ind w:start="144" w:end="144" w:hanging="0"/>
        <w:rPr>
          <w:color w:val="000000"/>
          <w:sz w:val="24"/>
          <w:szCs w:val="15"/>
        </w:rPr>
      </w:pPr>
      <w:r>
        <w:rPr>
          <w:color w:val="000000"/>
          <w:sz w:val="24"/>
          <w:szCs w:val="15"/>
        </w:rPr>
        <w:t xml:space="preserve">Wood, G. P. </w:t>
      </w:r>
    </w:p>
    <w:p>
      <w:pPr>
        <w:pStyle w:val="Style14"/>
        <w:ind w:start="144" w:end="144" w:hanging="0"/>
        <w:jc w:val="both"/>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Colha,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Zeitlin, R. N. </w:t>
      </w:r>
    </w:p>
    <w:p>
      <w:pPr>
        <w:pStyle w:val="Style14"/>
        <w:ind w:start="144" w:end="144" w:hanging="0"/>
        <w:jc w:val="both"/>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pPr>
        <w:pStyle w:val="Style14"/>
        <w:ind w:start="144" w:end="144" w:hanging="0"/>
        <w:rPr>
          <w:iCs/>
          <w:color w:val="000000"/>
          <w:w w:val="92"/>
          <w:sz w:val="24"/>
          <w:szCs w:val="15"/>
        </w:rPr>
      </w:pPr>
      <w:r>
        <w:rPr>
          <w:iCs/>
          <w:color w:val="000000"/>
          <w:w w:val="92"/>
          <w:sz w:val="24"/>
          <w:szCs w:val="15"/>
        </w:rPr>
      </w:r>
    </w:p>
    <w:p>
      <w:pPr>
        <w:pStyle w:val="Style14"/>
        <w:ind w:start="144" w:end="144" w:hanging="0"/>
        <w:rPr>
          <w:color w:val="000000"/>
          <w:sz w:val="24"/>
          <w:szCs w:val="15"/>
        </w:rPr>
      </w:pPr>
      <w:r>
        <w:rPr>
          <w:color w:val="000000"/>
          <w:sz w:val="24"/>
          <w:szCs w:val="15"/>
        </w:rPr>
        <w:t xml:space="preserve">Zeitlin, R. N., and 1. F. Zeitlin </w:t>
      </w:r>
    </w:p>
    <w:p>
      <w:pPr>
        <w:pStyle w:val="Style14"/>
        <w:ind w:start="144" w:end="144" w:hanging="0"/>
        <w:rPr>
          <w:color w:val="000000"/>
          <w:sz w:val="24"/>
          <w:szCs w:val="15"/>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pPr>
        <w:pStyle w:val="Normal"/>
        <w:rPr>
          <w:color w:val="000000"/>
          <w:sz w:val="24"/>
          <w:szCs w:val="15"/>
        </w:rPr>
      </w:pPr>
      <w:r>
        <w:rPr>
          <w:color w:val="000000"/>
          <w:sz w:val="24"/>
          <w:szCs w:val="15"/>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character" w:styleId="Notranslate">
    <w:name w:val="notranslate"/>
    <w:qFormat/>
    <w:rPr/>
  </w:style>
  <w:style w:type="character" w:styleId="Referencetext">
    <w:name w:val="reference-text"/>
    <w:qFormat/>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Style14">
    <w:name w:val="Style"/>
    <w:qFormat/>
    <w:pPr>
      <w:widowControl w:val="false"/>
      <w:autoSpaceDE w:val="false"/>
    </w:pPr>
    <w:rPr>
      <w:rFonts w:ascii="Times New Roman" w:hAnsi="Times New Roman" w:eastAsia="Times New Roman"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2018-08-02T06:16:00Z</dcterms:created>
  <dc:creator>owner</dc:creator>
  <dc:description/>
  <cp:keywords/>
  <dc:language>en-US</dc:language>
  <cp:lastModifiedBy>Ralph Coffman</cp:lastModifiedBy>
  <dcterms:modified xsi:type="dcterms:W3CDTF">2018-08-02T06:16:00Z</dcterms:modified>
  <cp:revision>2</cp:revision>
  <dc:subject/>
  <dc:title>DIS-AM,C-Taino-Anthropomorphic Heads</dc:title>
</cp:coreProperties>
</file>