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fill="FFFFFF" w:val="clear"/>
        <w:spacing w:before="72" w:after="0"/>
        <w:ind w:start="384" w:hanging="0"/>
        <w:outlineLvl w:val="2"/>
        <w:rPr>
          <w:rFonts w:ascii="Arial" w:hAnsi="Arial" w:cs="Arial"/>
          <w:b/>
          <w:b/>
          <w:bCs/>
          <w:color w:val="000000"/>
          <w:sz w:val="29"/>
          <w:szCs w:val="29"/>
        </w:rPr>
      </w:pPr>
      <w:r>
        <w:rPr/>
        <w:t>A000-EUR-Crete-Minoan cup-</w:t>
      </w:r>
      <w:r>
        <w:rPr>
          <w:rFonts w:cs="Arial" w:ascii="Arial" w:hAnsi="Arial"/>
          <w:b/>
          <w:bCs/>
          <w:color w:val="000000"/>
          <w:sz w:val="29"/>
          <w:szCs w:val="29"/>
        </w:rPr>
        <w:t>Agyios Onouphrios, Lebena-EM I-</w:t>
      </w:r>
      <w:r>
        <w:rPr/>
        <w:t>-2200-1600 BCE </w:t>
      </w:r>
    </w:p>
    <w:p>
      <w:pPr>
        <w:pStyle w:val="Normal"/>
        <w:rPr>
          <w:rFonts w:ascii="Arial" w:hAnsi="Arial" w:cs="Arial"/>
          <w:b/>
          <w:b/>
          <w:bCs/>
          <w:color w:val="000000"/>
          <w:sz w:val="29"/>
          <w:szCs w:val="29"/>
        </w:rPr>
      </w:pPr>
      <w:r>
        <w:rPr>
          <w:rFonts w:cs="Arial" w:ascii="Arial" w:hAnsi="Arial"/>
          <w:b/>
          <w:bCs/>
          <w:color w:val="000000"/>
          <w:sz w:val="29"/>
          <w:szCs w:val="29"/>
        </w:rPr>
      </w:r>
    </w:p>
    <w:p>
      <w:pPr>
        <w:pStyle w:val="Normal"/>
        <w:rPr/>
      </w:pPr>
      <w:r>
        <w:rPr/>
        <w:drawing>
          <wp:inline distT="0" distB="0" distL="0" distR="0">
            <wp:extent cx="3244850" cy="454533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4" t="-3" r="-4" b="-3"/>
                    <a:stretch>
                      <a:fillRect/>
                    </a:stretch>
                  </pic:blipFill>
                  <pic:spPr bwMode="auto">
                    <a:xfrm>
                      <a:off x="0" y="0"/>
                      <a:ext cx="3244850" cy="4545330"/>
                    </a:xfrm>
                    <a:prstGeom prst="rect">
                      <a:avLst/>
                    </a:prstGeom>
                  </pic:spPr>
                </pic:pic>
              </a:graphicData>
            </a:graphic>
          </wp:inline>
        </w:drawing>
      </w:r>
      <w:r>
        <w:rPr/>
        <w:t xml:space="preserve"> </w:t>
      </w:r>
      <w:r>
        <w:rPr/>
        <w:drawing>
          <wp:inline distT="0" distB="0" distL="0" distR="0">
            <wp:extent cx="3348990" cy="45586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4" t="-3" r="-4" b="-3"/>
                    <a:stretch>
                      <a:fillRect/>
                    </a:stretch>
                  </pic:blipFill>
                  <pic:spPr bwMode="auto">
                    <a:xfrm>
                      <a:off x="0" y="0"/>
                      <a:ext cx="3348990" cy="4558665"/>
                    </a:xfrm>
                    <a:prstGeom prst="rect">
                      <a:avLst/>
                    </a:prstGeom>
                  </pic:spPr>
                </pic:pic>
              </a:graphicData>
            </a:graphic>
          </wp:inline>
        </w:drawing>
      </w:r>
    </w:p>
    <w:p>
      <w:pPr>
        <w:pStyle w:val="Normal"/>
        <w:rPr/>
      </w:pPr>
      <w:r>
        <w:rPr/>
        <w:drawing>
          <wp:inline distT="0" distB="0" distL="0" distR="0">
            <wp:extent cx="2858135" cy="39497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3" r="-4" b="-3"/>
                    <a:stretch>
                      <a:fillRect/>
                    </a:stretch>
                  </pic:blipFill>
                  <pic:spPr bwMode="auto">
                    <a:xfrm>
                      <a:off x="0" y="0"/>
                      <a:ext cx="2858135" cy="3949700"/>
                    </a:xfrm>
                    <a:prstGeom prst="rect">
                      <a:avLst/>
                    </a:prstGeom>
                  </pic:spPr>
                </pic:pic>
              </a:graphicData>
            </a:graphic>
          </wp:inline>
        </w:drawing>
      </w:r>
      <w:r>
        <w:rPr/>
        <w:drawing>
          <wp:inline distT="0" distB="0" distL="0" distR="0">
            <wp:extent cx="2816860" cy="40074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 t="-3" r="-4" b="-3"/>
                    <a:stretch>
                      <a:fillRect/>
                    </a:stretch>
                  </pic:blipFill>
                  <pic:spPr bwMode="auto">
                    <a:xfrm>
                      <a:off x="0" y="0"/>
                      <a:ext cx="2816860" cy="4007485"/>
                    </a:xfrm>
                    <a:prstGeom prst="rect">
                      <a:avLst/>
                    </a:prstGeom>
                  </pic:spPr>
                </pic:pic>
              </a:graphicData>
            </a:graphic>
          </wp:inline>
        </w:drawing>
      </w:r>
      <w:r>
        <w:rPr/>
        <w:t xml:space="preserve"> </w:t>
      </w:r>
      <w:r>
        <w:rPr/>
        <w:drawing>
          <wp:inline distT="0" distB="0" distL="0" distR="0">
            <wp:extent cx="3022600" cy="351091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3" t="-3" r="-3" b="-3"/>
                    <a:stretch>
                      <a:fillRect/>
                    </a:stretch>
                  </pic:blipFill>
                  <pic:spPr bwMode="auto">
                    <a:xfrm>
                      <a:off x="0" y="0"/>
                      <a:ext cx="3022600" cy="3510915"/>
                    </a:xfrm>
                    <a:prstGeom prst="rect">
                      <a:avLst/>
                    </a:prstGeom>
                  </pic:spPr>
                </pic:pic>
              </a:graphicData>
            </a:graphic>
          </wp:inline>
        </w:drawing>
      </w:r>
      <w:r>
        <w:rPr/>
        <w:drawing>
          <wp:inline distT="0" distB="0" distL="0" distR="0">
            <wp:extent cx="3061335" cy="30613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 t="-3" r="-3" b="-3"/>
                    <a:stretch>
                      <a:fillRect/>
                    </a:stretch>
                  </pic:blipFill>
                  <pic:spPr bwMode="auto">
                    <a:xfrm>
                      <a:off x="0" y="0"/>
                      <a:ext cx="3061335" cy="3061335"/>
                    </a:xfrm>
                    <a:prstGeom prst="rect">
                      <a:avLst/>
                    </a:prstGeom>
                  </pic:spPr>
                </pic:pic>
              </a:graphicData>
            </a:graphic>
          </wp:inline>
        </w:drawing>
      </w:r>
    </w:p>
    <w:p>
      <w:pPr>
        <w:pStyle w:val="Normal"/>
        <w:rPr/>
      </w:pPr>
      <w:r>
        <w:rPr/>
        <w:t>EUR-Crete-Minoan cup-2200-1600 BCE </w:t>
      </w:r>
    </w:p>
    <w:p>
      <w:pPr>
        <w:pStyle w:val="Normal"/>
        <w:rPr/>
      </w:pPr>
      <w:r>
        <w:rPr/>
      </w:r>
    </w:p>
    <w:p>
      <w:pPr>
        <w:pStyle w:val="Normal"/>
        <w:rPr/>
      </w:pPr>
      <w:r>
        <w:rPr/>
      </w:r>
    </w:p>
    <w:p>
      <w:pPr>
        <w:pStyle w:val="Normal"/>
        <w:rPr>
          <w:rStyle w:val="StrongEmphasis"/>
        </w:rPr>
      </w:pPr>
      <w:r>
        <w:rPr>
          <w:rStyle w:val="StrongEmphasis"/>
        </w:rPr>
        <w:t>Case no.: 4</w:t>
      </w:r>
    </w:p>
    <w:p>
      <w:pPr>
        <w:pStyle w:val="Normal"/>
        <w:rPr/>
      </w:pPr>
      <w:r>
        <w:rPr>
          <w:rStyle w:val="StrongEmphasis"/>
        </w:rPr>
        <w:t>Accession Number:</w:t>
      </w:r>
    </w:p>
    <w:p>
      <w:pPr>
        <w:pStyle w:val="Normal"/>
        <w:rPr/>
      </w:pPr>
      <w:r>
        <w:rPr>
          <w:rStyle w:val="StrongEmphasis"/>
        </w:rPr>
        <w:t xml:space="preserve">Formal Label: </w:t>
      </w:r>
      <w:r>
        <w:rPr/>
        <w:t>EUR-Crete-Minoan cup-2200-1600 BCE </w:t>
      </w:r>
    </w:p>
    <w:p>
      <w:pPr>
        <w:pStyle w:val="Normal"/>
        <w:rPr>
          <w:rStyle w:val="StrongEmphasis"/>
        </w:rPr>
      </w:pPr>
      <w:r>
        <w:rPr/>
      </w:r>
    </w:p>
    <w:p>
      <w:pPr>
        <w:pStyle w:val="Normal"/>
        <w:rPr>
          <w:b/>
          <w:b/>
          <w:bCs/>
        </w:rPr>
      </w:pPr>
      <w:r>
        <w:rPr>
          <w:b/>
          <w:bCs/>
        </w:rPr>
        <w:t>Display Description:</w:t>
      </w:r>
    </w:p>
    <w:p>
      <w:pPr>
        <w:pStyle w:val="Normal"/>
        <w:shd w:fill="FFFFFF" w:val="clear"/>
        <w:spacing w:before="120" w:after="120"/>
        <w:ind w:start="384" w:hanging="0"/>
        <w:rPr/>
      </w:pPr>
      <w:r>
        <w:rPr>
          <w:rFonts w:cs="Arial" w:ascii="Arial" w:hAnsi="Arial"/>
          <w:color w:val="252525"/>
          <w:sz w:val="21"/>
          <w:szCs w:val="21"/>
        </w:rPr>
        <w:t>Painted parallel-line decors of </w:t>
      </w:r>
      <w:r>
        <w:rPr>
          <w:rFonts w:cs="Arial" w:ascii="Arial" w:hAnsi="Arial"/>
          <w:b/>
          <w:bCs/>
          <w:color w:val="252525"/>
          <w:sz w:val="21"/>
          <w:szCs w:val="21"/>
        </w:rPr>
        <w:t>Ayios Onouphrios I Ware</w:t>
      </w:r>
      <w:r>
        <w:rPr>
          <w:rFonts w:cs="Arial" w:ascii="Arial" w:hAnsi="Arial"/>
          <w:color w:val="252525"/>
          <w:sz w:val="21"/>
          <w:szCs w:val="21"/>
        </w:rPr>
        <w:t> were drawn with an iron-red clay slip that would fire red under oxidizing conditions in a clean kiln but under the reducing conditions of a smoky fire would turn darker, without much control over color, which could range from red to brown. A dark-on-light painted pattern was then applied. (</w:t>
      </w:r>
      <w:hyperlink r:id="rId8">
        <w:r>
          <w:rPr>
            <w:rStyle w:val="InternetLink"/>
            <w:rFonts w:cs="Arial" w:ascii="Arial" w:hAnsi="Arial"/>
            <w:color w:val="663366"/>
            <w:sz w:val="21"/>
            <w:szCs w:val="21"/>
          </w:rPr>
          <w:t>Examples 1</w:t>
        </w:r>
      </w:hyperlink>
      <w:r>
        <w:rPr>
          <w:rFonts w:cs="Arial" w:ascii="Arial" w:hAnsi="Arial"/>
          <w:color w:val="252525"/>
          <w:sz w:val="21"/>
          <w:szCs w:val="21"/>
        </w:rPr>
        <w:t>, </w:t>
      </w:r>
      <w:hyperlink r:id="rId9">
        <w:r>
          <w:rPr>
            <w:rStyle w:val="InternetLink"/>
            <w:rFonts w:cs="Arial" w:ascii="Arial" w:hAnsi="Arial"/>
            <w:color w:val="663366"/>
            <w:sz w:val="21"/>
            <w:szCs w:val="21"/>
          </w:rPr>
          <w:t>Examples 2</w:t>
        </w:r>
      </w:hyperlink>
      <w:r>
        <w:rPr>
          <w:rFonts w:cs="Arial" w:ascii="Arial" w:hAnsi="Arial"/>
          <w:color w:val="252525"/>
          <w:sz w:val="21"/>
          <w:szCs w:val="21"/>
        </w:rPr>
        <w:t>.) From this beginning, Minoan potters already concentrated on the linear forms of designs, perfecting coherent designs and voids that would ideally suit the shape of the ware. Shapes were jugs, two-handled cups and bowls. The ware came from north and south central Crete, as did </w:t>
      </w:r>
      <w:r>
        <w:rPr>
          <w:rFonts w:cs="Arial" w:ascii="Arial" w:hAnsi="Arial"/>
          <w:b/>
          <w:bCs/>
          <w:color w:val="252525"/>
          <w:sz w:val="21"/>
          <w:szCs w:val="21"/>
        </w:rPr>
        <w:t>Lebena Ware</w:t>
      </w:r>
      <w:r>
        <w:rPr>
          <w:rFonts w:cs="Arial" w:ascii="Arial" w:hAnsi="Arial"/>
          <w:color w:val="252525"/>
          <w:sz w:val="21"/>
          <w:szCs w:val="21"/>
        </w:rPr>
        <w:t> of the same general types but decorated by painting white patterns over a solid red painted background (</w:t>
      </w:r>
      <w:hyperlink r:id="rId10">
        <w:r>
          <w:rPr>
            <w:rStyle w:val="InternetLink"/>
            <w:rFonts w:cs="Arial" w:ascii="Arial" w:hAnsi="Arial"/>
            <w:color w:val="663366"/>
            <w:sz w:val="21"/>
            <w:szCs w:val="21"/>
          </w:rPr>
          <w:t>Example</w:t>
        </w:r>
      </w:hyperlink>
      <w:r>
        <w:rPr>
          <w:rFonts w:cs="Arial" w:ascii="Arial" w:hAnsi="Arial"/>
          <w:color w:val="252525"/>
          <w:sz w:val="21"/>
          <w:szCs w:val="21"/>
        </w:rPr>
        <w:t>). The latter came from EM I tombs.</w:t>
      </w:r>
    </w:p>
    <w:p>
      <w:pPr>
        <w:pStyle w:val="Normal"/>
        <w:rPr>
          <w:rFonts w:ascii="Arial" w:hAnsi="Arial" w:cs="Arial"/>
          <w:b/>
          <w:b/>
          <w:bCs/>
          <w:color w:val="252525"/>
          <w:sz w:val="21"/>
          <w:szCs w:val="21"/>
        </w:rPr>
      </w:pPr>
      <w:r>
        <w:rPr>
          <w:rFonts w:cs="Arial" w:ascii="Arial" w:hAnsi="Arial"/>
          <w:b/>
          <w:bCs/>
          <w:color w:val="252525"/>
          <w:sz w:val="21"/>
          <w:szCs w:val="21"/>
        </w:rPr>
      </w:r>
    </w:p>
    <w:p>
      <w:pPr>
        <w:pStyle w:val="Heading2"/>
        <w:pBdr>
          <w:bottom w:val="single" w:sz="6" w:space="0" w:color="AAAAAA"/>
        </w:pBdr>
        <w:shd w:fill="FFFFFF" w:val="clear"/>
        <w:rPr>
          <w:rFonts w:ascii="Georgia" w:hAnsi="Georgia" w:cs="Georgia"/>
          <w:b w:val="false"/>
          <w:b w:val="false"/>
          <w:bCs w:val="false"/>
          <w:color w:val="000000"/>
          <w:sz w:val="36"/>
          <w:szCs w:val="36"/>
        </w:rPr>
      </w:pPr>
      <w:r>
        <w:rPr>
          <w:rFonts w:cs="Georgia" w:ascii="Georgia" w:hAnsi="Georgia"/>
          <w:b w:val="false"/>
          <w:bCs w:val="false"/>
          <w:color w:val="000000"/>
        </w:rPr>
        <w:t>Traditional chronology</w:t>
      </w:r>
    </w:p>
    <w:p>
      <w:pPr>
        <w:pStyle w:val="NormalWeb"/>
        <w:shd w:fill="FFFFFF" w:val="clear"/>
        <w:spacing w:before="120" w:after="120"/>
        <w:rPr/>
      </w:pPr>
      <w:r>
        <w:rPr>
          <w:rFonts w:cs="Arial" w:ascii="Arial" w:hAnsi="Arial"/>
          <w:color w:val="252525"/>
          <w:sz w:val="21"/>
          <w:szCs w:val="21"/>
        </w:rPr>
        <w:t>The traditional chronology for dating </w:t>
      </w:r>
      <w:hyperlink r:id="rId11">
        <w:r>
          <w:rPr>
            <w:rStyle w:val="InternetLink"/>
            <w:rFonts w:cs="Arial" w:ascii="Arial" w:hAnsi="Arial"/>
            <w:color w:val="0B0080"/>
            <w:sz w:val="21"/>
            <w:szCs w:val="21"/>
          </w:rPr>
          <w:t>Minoan civilization</w:t>
        </w:r>
      </w:hyperlink>
      <w:r>
        <w:rPr>
          <w:rFonts w:cs="Arial" w:ascii="Arial" w:hAnsi="Arial"/>
          <w:color w:val="252525"/>
          <w:sz w:val="21"/>
          <w:szCs w:val="21"/>
        </w:rPr>
        <w:t> was developed by Sir </w:t>
      </w:r>
      <w:hyperlink r:id="rId12">
        <w:r>
          <w:rPr>
            <w:rStyle w:val="InternetLink"/>
            <w:rFonts w:cs="Arial" w:ascii="Arial" w:hAnsi="Arial"/>
            <w:color w:val="0B0080"/>
            <w:sz w:val="21"/>
            <w:szCs w:val="21"/>
          </w:rPr>
          <w:t>Arthur Evans</w:t>
        </w:r>
      </w:hyperlink>
      <w:r>
        <w:rPr>
          <w:rFonts w:cs="Arial" w:ascii="Arial" w:hAnsi="Arial"/>
          <w:color w:val="252525"/>
          <w:sz w:val="21"/>
          <w:szCs w:val="21"/>
        </w:rPr>
        <w:t> in the early years of the 20th century AD. His terminology and the one proposed by </w:t>
      </w:r>
      <w:hyperlink r:id="rId13">
        <w:r>
          <w:rPr>
            <w:rStyle w:val="InternetLink"/>
            <w:rFonts w:cs="Arial" w:ascii="Arial" w:hAnsi="Arial"/>
            <w:color w:val="0B0080"/>
            <w:sz w:val="21"/>
            <w:szCs w:val="21"/>
          </w:rPr>
          <w:t>Nikolaos Platon</w:t>
        </w:r>
      </w:hyperlink>
      <w:r>
        <w:rPr>
          <w:rFonts w:cs="Arial" w:ascii="Arial" w:hAnsi="Arial"/>
          <w:color w:val="252525"/>
          <w:sz w:val="21"/>
          <w:szCs w:val="21"/>
        </w:rPr>
        <w:t> are still generally in use and appear in this article. For more details, see the </w:t>
      </w:r>
      <w:hyperlink r:id="rId14">
        <w:r>
          <w:rPr>
            <w:rStyle w:val="InternetLink"/>
            <w:rFonts w:cs="Arial" w:ascii="Arial" w:hAnsi="Arial"/>
            <w:color w:val="0B0080"/>
            <w:sz w:val="21"/>
            <w:szCs w:val="21"/>
          </w:rPr>
          <w:t>Minoan chronology</w:t>
        </w:r>
      </w:hyperlink>
      <w:r>
        <w:rPr>
          <w:rFonts w:cs="Arial" w:ascii="Arial" w:hAnsi="Arial"/>
          <w:color w:val="252525"/>
          <w:sz w:val="21"/>
          <w:szCs w:val="21"/>
        </w:rPr>
        <w:t>.</w:t>
      </w:r>
    </w:p>
    <w:p>
      <w:pPr>
        <w:pStyle w:val="NormalWeb"/>
        <w:shd w:fill="FFFFFF" w:val="clear"/>
        <w:spacing w:before="120" w:after="120"/>
        <w:rPr>
          <w:rFonts w:ascii="Arial" w:hAnsi="Arial" w:cs="Arial"/>
          <w:color w:val="252525"/>
          <w:sz w:val="21"/>
          <w:szCs w:val="21"/>
        </w:rPr>
      </w:pPr>
      <w:r>
        <w:rPr>
          <w:rFonts w:cs="Arial" w:ascii="Arial" w:hAnsi="Arial"/>
          <w:color w:val="252525"/>
          <w:sz w:val="21"/>
          <w:szCs w:val="21"/>
        </w:rPr>
        <w:t>Evans classified fine pottery by the changes in its forms and styles of decoration. Platon concentrated on the episodic history of the Palace of </w:t>
      </w:r>
      <w:hyperlink r:id="rId15">
        <w:r>
          <w:rPr>
            <w:rStyle w:val="InternetLink"/>
            <w:rFonts w:cs="Arial" w:ascii="Arial" w:hAnsi="Arial"/>
            <w:color w:val="0B0080"/>
            <w:sz w:val="21"/>
            <w:szCs w:val="21"/>
          </w:rPr>
          <w:t>Knossos</w:t>
        </w:r>
      </w:hyperlink>
      <w:r>
        <w:rPr>
          <w:rFonts w:cs="Arial" w:ascii="Arial" w:hAnsi="Arial"/>
          <w:color w:val="252525"/>
          <w:sz w:val="21"/>
          <w:szCs w:val="21"/>
        </w:rPr>
        <w:t>. A new method, fabric analysis, involves geologic analysis of coarse and mainly undecorated sherds as though they were rocks. The resulting classifications are based on composition of the sherds.</w:t>
      </w:r>
      <w:r>
        <w:fldChar w:fldCharType="begin"/>
      </w:r>
      <w:r>
        <w:rPr>
          <w:rStyle w:val="Mwreflinktext"/>
          <w:vertAlign w:val="superscript"/>
          <w:sz w:val="17"/>
          <w:szCs w:val="17"/>
          <w:rFonts w:cs="Arial" w:ascii="Arial" w:hAnsi="Arial"/>
        </w:rPr>
        <w:instrText> HYPERLINK "https://ipfs.io/ipfs/QmXoypizjW3WknFiJnKLwHCnL72vedxjQkDDP1mXWo6uco/wiki/Minoan_pottery.html" \l "cite_note-1"</w:instrText>
      </w:r>
      <w:r>
        <w:rPr>
          <w:rStyle w:val="Mwreflinktext"/>
          <w:vertAlign w:val="superscript"/>
          <w:sz w:val="17"/>
          <w:szCs w:val="17"/>
          <w:rFonts w:cs="Arial" w:ascii="Arial" w:hAnsi="Arial"/>
        </w:rPr>
        <w:fldChar w:fldCharType="separate"/>
      </w:r>
      <w:r>
        <w:rPr>
          <w:rStyle w:val="Mwreflinktext"/>
          <w:rFonts w:cs="Arial" w:ascii="Arial" w:hAnsi="Arial"/>
          <w:color w:val="0B0080"/>
          <w:sz w:val="17"/>
          <w:szCs w:val="17"/>
          <w:vertAlign w:val="superscript"/>
        </w:rPr>
        <w:t>[1]</w:t>
      </w:r>
      <w:r>
        <w:rPr>
          <w:rStyle w:val="Mwreflinktext"/>
          <w:vertAlign w:val="superscript"/>
          <w:sz w:val="17"/>
          <w:szCs w:val="17"/>
          <w:rFonts w:cs="Arial" w:ascii="Arial" w:hAnsi="Arial"/>
        </w:rPr>
        <w:fldChar w:fldCharType="end"/>
      </w:r>
    </w:p>
    <w:p>
      <w:pPr>
        <w:pStyle w:val="Heading2"/>
        <w:pBdr>
          <w:bottom w:val="single" w:sz="6" w:space="0" w:color="AAAAAA"/>
        </w:pBdr>
        <w:shd w:fill="FFFFFF" w:val="clear"/>
        <w:rPr>
          <w:rFonts w:ascii="Georgia" w:hAnsi="Georgia" w:cs="Georgia"/>
          <w:b w:val="false"/>
          <w:b w:val="false"/>
          <w:bCs w:val="false"/>
          <w:color w:val="000000"/>
          <w:sz w:val="36"/>
          <w:szCs w:val="36"/>
        </w:rPr>
      </w:pPr>
      <w:r>
        <w:rPr>
          <w:rFonts w:cs="Georgia" w:ascii="Georgia" w:hAnsi="Georgia"/>
          <w:b w:val="false"/>
          <w:bCs w:val="false"/>
          <w:color w:val="000000"/>
        </w:rPr>
        <w:t>Early Minoan</w:t>
      </w:r>
    </w:p>
    <w:p>
      <w:pPr>
        <w:pStyle w:val="Normal"/>
        <w:shd w:fill="F9F9F9" w:val="clear"/>
        <w:jc w:val="center"/>
        <w:rPr>
          <w:rFonts w:ascii="Arial" w:hAnsi="Arial" w:cs="Arial"/>
          <w:color w:val="252525"/>
          <w:sz w:val="20"/>
          <w:szCs w:val="20"/>
        </w:rPr>
      </w:pPr>
      <w:r>
        <w:rPr>
          <w:rFonts w:cs="Arial" w:ascii="Arial" w:hAnsi="Arial"/>
          <w:color w:val="252525"/>
          <w:sz w:val="20"/>
          <w:szCs w:val="20"/>
        </w:rPr>
        <w:drawing>
          <wp:inline distT="0" distB="0" distL="0" distR="0">
            <wp:extent cx="2858135" cy="2141855"/>
            <wp:effectExtent l="0" t="0" r="0" b="0"/>
            <wp:docPr id="7" name="mwKA"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wKA" descr="" title=""/>
                    <pic:cNvPicPr>
                      <a:picLocks noChangeAspect="1" noChangeArrowheads="1"/>
                    </pic:cNvPicPr>
                  </pic:nvPicPr>
                  <pic:blipFill>
                    <a:blip r:embed="rId16"/>
                    <a:srcRect l="-16" t="-22" r="-16" b="-22"/>
                    <a:stretch>
                      <a:fillRect/>
                    </a:stretch>
                  </pic:blipFill>
                  <pic:spPr bwMode="auto">
                    <a:xfrm>
                      <a:off x="0" y="0"/>
                      <a:ext cx="2858135" cy="2141855"/>
                    </a:xfrm>
                    <a:prstGeom prst="rect">
                      <a:avLst/>
                    </a:prstGeom>
                  </pic:spPr>
                </pic:pic>
              </a:graphicData>
            </a:graphic>
          </wp:inline>
        </w:drawing>
      </w:r>
    </w:p>
    <w:p>
      <w:pPr>
        <w:pStyle w:val="Normal"/>
        <w:shd w:fill="F9F9F9" w:val="clear"/>
        <w:spacing w:lineRule="atLeast" w:line="336"/>
        <w:rPr/>
      </w:pPr>
      <w:r>
        <w:rPr>
          <w:rFonts w:cs="Arial" w:ascii="Arial" w:hAnsi="Arial"/>
          <w:color w:val="252525"/>
          <w:sz w:val="19"/>
          <w:szCs w:val="19"/>
        </w:rPr>
        <w:t>Shelves of Early Minoan pottery, mainly Vasiliki Ware, </w:t>
      </w:r>
      <w:hyperlink r:id="rId17">
        <w:r>
          <w:rPr>
            <w:rStyle w:val="InternetLink"/>
            <w:rFonts w:cs="Arial" w:ascii="Arial" w:hAnsi="Arial"/>
            <w:color w:val="0B0080"/>
            <w:sz w:val="19"/>
            <w:szCs w:val="19"/>
          </w:rPr>
          <w:t>Heracleion Archaeological Museum</w:t>
        </w:r>
      </w:hyperlink>
      <w:r>
        <w:rPr>
          <w:rFonts w:cs="Arial" w:ascii="Arial" w:hAnsi="Arial"/>
          <w:color w:val="252525"/>
          <w:sz w:val="19"/>
          <w:szCs w:val="19"/>
        </w:rPr>
        <w:t> at </w:t>
      </w:r>
      <w:hyperlink r:id="rId18">
        <w:r>
          <w:rPr>
            <w:rStyle w:val="InternetLink"/>
            <w:rFonts w:cs="Arial" w:ascii="Arial" w:hAnsi="Arial"/>
            <w:color w:val="0B0080"/>
            <w:sz w:val="19"/>
            <w:szCs w:val="19"/>
          </w:rPr>
          <w:t>Iraklio</w:t>
        </w:r>
      </w:hyperlink>
      <w:r>
        <w:rPr>
          <w:rFonts w:cs="Arial" w:ascii="Arial" w:hAnsi="Arial"/>
          <w:color w:val="252525"/>
          <w:sz w:val="19"/>
          <w:szCs w:val="19"/>
        </w:rPr>
        <w:t>.</w:t>
      </w:r>
    </w:p>
    <w:p>
      <w:pPr>
        <w:pStyle w:val="NormalWeb"/>
        <w:shd w:fill="FFFFFF" w:val="clear"/>
        <w:spacing w:before="120" w:after="120"/>
        <w:rPr/>
      </w:pPr>
      <w:r>
        <w:rPr>
          <w:rFonts w:cs="Arial" w:ascii="Arial" w:hAnsi="Arial"/>
          <w:color w:val="252525"/>
          <w:sz w:val="21"/>
          <w:szCs w:val="21"/>
        </w:rPr>
        <w:t>A brief introduction to the topic of Early Minoan pottery is stated below. It concentrates on some better-known styles but should not be regarded as comprehensive. A variety of </w:t>
      </w:r>
      <w:hyperlink r:id="rId19">
        <w:r>
          <w:rPr>
            <w:rStyle w:val="InternetLink"/>
            <w:rFonts w:cs="Arial" w:ascii="Arial" w:hAnsi="Arial"/>
            <w:color w:val="663366"/>
            <w:sz w:val="21"/>
            <w:szCs w:val="21"/>
          </w:rPr>
          <w:t>forms</w:t>
        </w:r>
      </w:hyperlink>
      <w:r>
        <w:rPr>
          <w:rFonts w:cs="Arial" w:ascii="Arial" w:hAnsi="Arial"/>
          <w:color w:val="252525"/>
          <w:sz w:val="21"/>
          <w:szCs w:val="21"/>
        </w:rPr>
        <w:t> is known. The period is generally characterized by a large number of local wares with frequent Cycladic parallels or imports, suggesting a population of checkerboard ethnicity deriving from various locations in the eastern Aegean or even wider. The evidence is certainly open to interpretation, and none is decisive.</w:t>
      </w:r>
    </w:p>
    <w:p>
      <w:pPr>
        <w:pStyle w:val="Normal"/>
        <w:rPr>
          <w:rFonts w:ascii="Arial" w:hAnsi="Arial" w:cs="Arial"/>
          <w:b/>
          <w:b/>
          <w:bCs/>
          <w:color w:val="252525"/>
          <w:sz w:val="21"/>
          <w:szCs w:val="21"/>
        </w:rPr>
      </w:pPr>
      <w:r>
        <w:rPr>
          <w:rFonts w:cs="Arial" w:ascii="Arial" w:hAnsi="Arial"/>
          <w:b/>
          <w:bCs/>
          <w:color w:val="252525"/>
          <w:sz w:val="21"/>
          <w:szCs w:val="21"/>
        </w:rPr>
      </w:r>
    </w:p>
    <w:p>
      <w:pPr>
        <w:pStyle w:val="Normal"/>
        <w:shd w:fill="FFFFFF" w:val="clear"/>
        <w:spacing w:before="120" w:after="120"/>
        <w:rPr>
          <w:rFonts w:ascii="Arial" w:hAnsi="Arial" w:cs="Arial"/>
          <w:color w:val="252525"/>
          <w:sz w:val="21"/>
          <w:szCs w:val="21"/>
        </w:rPr>
      </w:pPr>
      <w:r>
        <w:rPr>
          <w:rFonts w:cs="Arial" w:ascii="Arial" w:hAnsi="Arial"/>
          <w:color w:val="252525"/>
          <w:sz w:val="21"/>
          <w:szCs w:val="21"/>
        </w:rPr>
        <w:t>The period is generally characterized by a large number of local wares with frequent Cycladic parallels or imports, suggesting a population of checkerboard ethnicity deriving from various locations in the eastern Aegean or even wider. The evidence is certainly open to interpretation, and none is decisive.</w:t>
      </w:r>
    </w:p>
    <w:p>
      <w:pPr>
        <w:pStyle w:val="Normal"/>
        <w:numPr>
          <w:ilvl w:val="0"/>
          <w:numId w:val="0"/>
        </w:numPr>
        <w:shd w:fill="FFFFFF" w:val="clear"/>
        <w:spacing w:before="72" w:after="0"/>
        <w:outlineLvl w:val="2"/>
        <w:rPr>
          <w:rFonts w:ascii="Arial" w:hAnsi="Arial" w:cs="Arial"/>
          <w:b/>
          <w:b/>
          <w:bCs/>
          <w:color w:val="000000"/>
          <w:sz w:val="29"/>
          <w:szCs w:val="29"/>
        </w:rPr>
      </w:pPr>
      <w:r>
        <w:rPr>
          <w:rFonts w:cs="Arial" w:ascii="Arial" w:hAnsi="Arial"/>
          <w:b/>
          <w:bCs/>
          <w:color w:val="000000"/>
          <w:sz w:val="29"/>
          <w:szCs w:val="29"/>
        </w:rPr>
        <w:t>FN, EM I</w:t>
      </w:r>
    </w:p>
    <w:p>
      <w:pPr>
        <w:pStyle w:val="Normal"/>
        <w:shd w:fill="FFFFFF" w:val="clear"/>
        <w:spacing w:before="120" w:after="120"/>
        <w:rPr/>
      </w:pPr>
      <w:r>
        <w:rPr>
          <w:rFonts w:cs="Arial" w:ascii="Arial" w:hAnsi="Arial"/>
          <w:color w:val="252525"/>
          <w:sz w:val="21"/>
          <w:szCs w:val="21"/>
        </w:rPr>
        <w:t>Early Minoan pottery, to some extent, continued, and possibly evolved from, the Final Neolithic</w:t>
      </w:r>
      <w:r>
        <w:fldChar w:fldCharType="begin"/>
      </w:r>
      <w:r>
        <w:rPr>
          <w:rStyle w:val="InternetLink"/>
          <w:vertAlign w:val="superscript"/>
          <w:sz w:val="17"/>
          <w:szCs w:val="17"/>
          <w:rFonts w:cs="Arial" w:ascii="Arial" w:hAnsi="Arial"/>
        </w:rPr>
        <w:instrText> HYPERLINK "https://ipfs.io/ipfs/QmXoypizjW3WknFiJnKLwHCnL72vedxjQkDDP1mXWo6uco/wiki/Minoan_pottery.html" \l "cite_note-2"</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[2]</w:t>
      </w:r>
      <w:r>
        <w:rPr>
          <w:rStyle w:val="InternetLink"/>
          <w:vertAlign w:val="superscript"/>
          <w:sz w:val="17"/>
          <w:szCs w:val="17"/>
          <w:rFonts w:cs="Arial" w:ascii="Arial" w:hAnsi="Arial"/>
        </w:rPr>
        <w:fldChar w:fldCharType="end"/>
      </w:r>
      <w:r>
        <w:rPr>
          <w:rFonts w:cs="Arial" w:ascii="Arial" w:hAnsi="Arial"/>
          <w:color w:val="252525"/>
          <w:sz w:val="21"/>
          <w:szCs w:val="21"/>
        </w:rPr>
        <w:t> (FN) without a severe break. Many suggest that Minoan civilization evolved </w:t>
      </w:r>
      <w:r>
        <w:rPr>
          <w:rFonts w:cs="Arial" w:ascii="Arial" w:hAnsi="Arial"/>
          <w:i/>
          <w:iCs/>
          <w:color w:val="252525"/>
          <w:sz w:val="21"/>
          <w:szCs w:val="21"/>
        </w:rPr>
        <w:t>in situ</w:t>
      </w:r>
      <w:r>
        <w:rPr>
          <w:rFonts w:cs="Arial" w:ascii="Arial" w:hAnsi="Arial"/>
          <w:color w:val="252525"/>
          <w:sz w:val="21"/>
          <w:szCs w:val="21"/>
        </w:rPr>
        <w:t> and was not imported from the East. Its other main feature is its variety from site to site, which is suggestive of localism of Early Minoan social traditions.</w:t>
      </w:r>
    </w:p>
    <w:p>
      <w:pPr>
        <w:pStyle w:val="Normal"/>
        <w:shd w:fill="FFFFFF" w:val="clear"/>
        <w:spacing w:before="120" w:after="120"/>
        <w:rPr/>
      </w:pPr>
      <w:r>
        <w:rPr>
          <w:rFonts w:cs="Arial" w:ascii="Arial" w:hAnsi="Arial"/>
          <w:color w:val="252525"/>
          <w:sz w:val="21"/>
          <w:szCs w:val="21"/>
        </w:rPr>
        <w:t>Studies of the relationship between EM I and FN have been conducted mainly in East Crete.</w:t>
      </w:r>
      <w:r>
        <w:fldChar w:fldCharType="begin"/>
      </w:r>
      <w:r>
        <w:rPr>
          <w:rStyle w:val="InternetLink"/>
          <w:vertAlign w:val="superscript"/>
          <w:sz w:val="17"/>
          <w:szCs w:val="17"/>
          <w:rFonts w:cs="Arial" w:ascii="Arial" w:hAnsi="Arial"/>
        </w:rPr>
        <w:instrText> HYPERLINK "https://ipfs.io/ipfs/QmXoypizjW3WknFiJnKLwHCnL72vedxjQkDDP1mXWo6uco/wiki/Minoan_pottery.html" \l "cite_note-3"</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[3]</w:t>
      </w:r>
      <w:r>
        <w:rPr>
          <w:rStyle w:val="InternetLink"/>
          <w:vertAlign w:val="superscript"/>
          <w:sz w:val="17"/>
          <w:szCs w:val="17"/>
          <w:rFonts w:cs="Arial" w:ascii="Arial" w:hAnsi="Arial"/>
        </w:rPr>
        <w:fldChar w:fldCharType="end"/>
      </w:r>
      <w:r>
        <w:rPr>
          <w:rFonts w:cs="Arial" w:ascii="Arial" w:hAnsi="Arial"/>
          <w:color w:val="252525"/>
          <w:sz w:val="21"/>
          <w:szCs w:val="21"/>
        </w:rPr>
        <w:t> There the Final Neolithic has affinities to the Cyclades, while both FN and EM I settlements are contemporaneous, with EM I gradually replacing FN. Of the three possibilities, no immigration, total replacement of natives by immigrants, immigrants settling among natives, Hutchinson</w:t>
      </w:r>
      <w:r>
        <w:fldChar w:fldCharType="begin"/>
      </w:r>
      <w:r>
        <w:rPr>
          <w:rStyle w:val="InternetLink"/>
          <w:vertAlign w:val="superscript"/>
          <w:sz w:val="17"/>
          <w:szCs w:val="17"/>
          <w:rFonts w:cs="Arial" w:ascii="Arial" w:hAnsi="Arial"/>
        </w:rPr>
        <w:instrText> HYPERLINK "https://ipfs.io/ipfs/QmXoypizjW3WknFiJnKLwHCnL72vedxjQkDDP1mXWo6uco/wiki/Minoan_pottery.html" \l "cite_note-4"</w:instrText>
      </w:r>
      <w:r>
        <w:rPr>
          <w:rStyle w:val="InternetLink"/>
          <w:vertAlign w:val="superscript"/>
          <w:sz w:val="17"/>
          <w:szCs w:val="17"/>
          <w:rFonts w:cs="Arial" w:ascii="Arial" w:hAnsi="Arial"/>
        </w:rPr>
        <w:fldChar w:fldCharType="separate"/>
      </w:r>
      <w:r>
        <w:rPr>
          <w:rStyle w:val="InternetLink"/>
          <w:rFonts w:cs="Arial" w:ascii="Arial" w:hAnsi="Arial"/>
          <w:color w:val="0B0080"/>
          <w:sz w:val="17"/>
          <w:szCs w:val="17"/>
          <w:vertAlign w:val="superscript"/>
        </w:rPr>
        <w:t>[4]</w:t>
      </w:r>
      <w:r>
        <w:rPr>
          <w:rStyle w:val="InternetLink"/>
          <w:vertAlign w:val="superscript"/>
          <w:sz w:val="17"/>
          <w:szCs w:val="17"/>
          <w:rFonts w:cs="Arial" w:ascii="Arial" w:hAnsi="Arial"/>
        </w:rPr>
        <w:fldChar w:fldCharType="end"/>
      </w:r>
      <w:r>
        <w:rPr>
          <w:rFonts w:cs="Arial" w:ascii="Arial" w:hAnsi="Arial"/>
          <w:color w:val="252525"/>
          <w:sz w:val="21"/>
          <w:szCs w:val="21"/>
        </w:rPr>
        <w:t> takes a compromise view:</w:t>
      </w:r>
    </w:p>
    <w:p>
      <w:pPr>
        <w:pStyle w:val="Normal"/>
        <w:shd w:fill="FFFFFF" w:val="clear"/>
        <w:spacing w:before="0" w:after="24"/>
        <w:ind w:start="720" w:hanging="0"/>
        <w:rPr>
          <w:rFonts w:ascii="Arial" w:hAnsi="Arial" w:cs="Arial"/>
          <w:color w:val="252525"/>
          <w:sz w:val="21"/>
          <w:szCs w:val="21"/>
        </w:rPr>
      </w:pPr>
      <w:r>
        <w:rPr>
          <w:rFonts w:cs="Arial" w:ascii="Arial" w:hAnsi="Arial"/>
          <w:color w:val="252525"/>
          <w:sz w:val="21"/>
          <w:szCs w:val="21"/>
        </w:rPr>
        <w:t>"The Neolithic Period in Crete did not end in a catastrophe; its culture developed into that of the Bronze Age under pressure from infiltration of relatively small bands of immigrants from the south and east, where copper and bronze had long been in use."</w:t>
      </w:r>
    </w:p>
    <w:p>
      <w:pPr>
        <w:pStyle w:val="Normal"/>
        <w:numPr>
          <w:ilvl w:val="0"/>
          <w:numId w:val="0"/>
        </w:numPr>
        <w:shd w:fill="FFFFFF" w:val="clear"/>
        <w:spacing w:before="72" w:after="0"/>
        <w:ind w:start="384" w:hanging="0"/>
        <w:outlineLvl w:val="2"/>
        <w:rPr>
          <w:rFonts w:ascii="Arial" w:hAnsi="Arial" w:cs="Arial"/>
          <w:b/>
          <w:b/>
          <w:bCs/>
          <w:color w:val="000000"/>
          <w:sz w:val="29"/>
          <w:szCs w:val="29"/>
        </w:rPr>
      </w:pPr>
      <w:r>
        <w:rPr>
          <w:rFonts w:cs="Arial" w:ascii="Arial" w:hAnsi="Arial"/>
          <w:b/>
          <w:bCs/>
          <w:color w:val="000000"/>
          <w:sz w:val="29"/>
          <w:szCs w:val="29"/>
        </w:rPr>
        <w:t>Agyios Onouphrios, Lebena</w:t>
      </w:r>
    </w:p>
    <w:p>
      <w:pPr>
        <w:pStyle w:val="Normal"/>
        <w:shd w:fill="FFFFFF" w:val="clear"/>
        <w:spacing w:before="120" w:after="120"/>
        <w:ind w:start="384" w:hanging="0"/>
        <w:rPr/>
      </w:pPr>
      <w:r>
        <w:rPr>
          <w:rFonts w:cs="Arial" w:ascii="Arial" w:hAnsi="Arial"/>
          <w:color w:val="252525"/>
          <w:sz w:val="21"/>
          <w:szCs w:val="21"/>
        </w:rPr>
        <w:t>Painted parallel-line decors of </w:t>
      </w:r>
      <w:r>
        <w:rPr>
          <w:rFonts w:cs="Arial" w:ascii="Arial" w:hAnsi="Arial"/>
          <w:b/>
          <w:bCs/>
          <w:color w:val="252525"/>
          <w:sz w:val="21"/>
          <w:szCs w:val="21"/>
        </w:rPr>
        <w:t>Ayios Onouphrios I Ware</w:t>
      </w:r>
      <w:r>
        <w:rPr>
          <w:rFonts w:cs="Arial" w:ascii="Arial" w:hAnsi="Arial"/>
          <w:color w:val="252525"/>
          <w:sz w:val="21"/>
          <w:szCs w:val="21"/>
        </w:rPr>
        <w:t> were drawn with an iron-red clay slip that would fire red under oxidizing conditions in a clean kiln but under the reducing conditions of a smoky fire would turn darker, without much control over color, which could range from red to brown. A dark-on-light painted pattern was then applied. (</w:t>
      </w:r>
      <w:hyperlink r:id="rId20">
        <w:r>
          <w:rPr>
            <w:rStyle w:val="InternetLink"/>
            <w:rFonts w:cs="Arial" w:ascii="Arial" w:hAnsi="Arial"/>
            <w:color w:val="663366"/>
            <w:sz w:val="21"/>
            <w:szCs w:val="21"/>
          </w:rPr>
          <w:t>Examples 1</w:t>
        </w:r>
      </w:hyperlink>
      <w:r>
        <w:rPr>
          <w:rFonts w:cs="Arial" w:ascii="Arial" w:hAnsi="Arial"/>
          <w:color w:val="252525"/>
          <w:sz w:val="21"/>
          <w:szCs w:val="21"/>
        </w:rPr>
        <w:t>, </w:t>
      </w:r>
      <w:hyperlink r:id="rId21">
        <w:r>
          <w:rPr>
            <w:rStyle w:val="InternetLink"/>
            <w:rFonts w:cs="Arial" w:ascii="Arial" w:hAnsi="Arial"/>
            <w:color w:val="663366"/>
            <w:sz w:val="21"/>
            <w:szCs w:val="21"/>
          </w:rPr>
          <w:t>Examples 2</w:t>
        </w:r>
      </w:hyperlink>
      <w:r>
        <w:rPr>
          <w:rFonts w:cs="Arial" w:ascii="Arial" w:hAnsi="Arial"/>
          <w:color w:val="252525"/>
          <w:sz w:val="21"/>
          <w:szCs w:val="21"/>
        </w:rPr>
        <w:t>.) From this beginning, Minoan potters already concentrated on the linear forms of designs, perfecting coherent designs and voids that would ideally suit the shape of the ware. Shapes were jugs, two-handled cups and bowls. The ware came from north and south central Crete, as did </w:t>
      </w:r>
      <w:r>
        <w:rPr>
          <w:rFonts w:cs="Arial" w:ascii="Arial" w:hAnsi="Arial"/>
          <w:b/>
          <w:bCs/>
          <w:color w:val="252525"/>
          <w:sz w:val="21"/>
          <w:szCs w:val="21"/>
        </w:rPr>
        <w:t>Lebena Ware</w:t>
      </w:r>
      <w:r>
        <w:rPr>
          <w:rFonts w:cs="Arial" w:ascii="Arial" w:hAnsi="Arial"/>
          <w:color w:val="252525"/>
          <w:sz w:val="21"/>
          <w:szCs w:val="21"/>
        </w:rPr>
        <w:t> of the same general types but decorated by painting white patterns over a solid red painted background (</w:t>
      </w:r>
      <w:hyperlink r:id="rId22">
        <w:r>
          <w:rPr>
            <w:rStyle w:val="InternetLink"/>
            <w:rFonts w:cs="Arial" w:ascii="Arial" w:hAnsi="Arial"/>
            <w:color w:val="663366"/>
            <w:sz w:val="21"/>
            <w:szCs w:val="21"/>
          </w:rPr>
          <w:t>Example</w:t>
        </w:r>
      </w:hyperlink>
      <w:r>
        <w:rPr>
          <w:rFonts w:cs="Arial" w:ascii="Arial" w:hAnsi="Arial"/>
          <w:color w:val="252525"/>
          <w:sz w:val="21"/>
          <w:szCs w:val="21"/>
        </w:rPr>
        <w:t>). The latter came from EM I tombs.</w:t>
      </w:r>
    </w:p>
    <w:p>
      <w:pPr>
        <w:pStyle w:val="Normal"/>
        <w:rPr>
          <w:rFonts w:ascii="Arial" w:hAnsi="Arial" w:cs="Arial"/>
          <w:b/>
          <w:b/>
          <w:bCs/>
          <w:color w:val="252525"/>
          <w:sz w:val="21"/>
          <w:szCs w:val="21"/>
        </w:rPr>
      </w:pPr>
      <w:r>
        <w:rPr>
          <w:rFonts w:cs="Arial" w:ascii="Arial" w:hAnsi="Arial"/>
          <w:b/>
          <w:bCs/>
          <w:color w:val="252525"/>
          <w:sz w:val="21"/>
          <w:szCs w:val="21"/>
        </w:rPr>
      </w:r>
    </w:p>
    <w:p>
      <w:pPr>
        <w:pStyle w:val="Normal"/>
        <w:rPr>
          <w:b/>
          <w:b/>
          <w:bCs/>
        </w:rPr>
      </w:pPr>
      <w:r>
        <w:rPr>
          <w:b/>
          <w:bCs/>
        </w:rPr>
        <w:t>LC Classification:</w:t>
      </w:r>
    </w:p>
    <w:p>
      <w:pPr>
        <w:pStyle w:val="Normal"/>
        <w:rPr/>
      </w:pPr>
      <w:r>
        <w:rPr>
          <w:rStyle w:val="StrongEmphasis"/>
        </w:rPr>
        <w:t>Date or Time Horizon:</w:t>
      </w:r>
      <w:r>
        <w:rPr/>
        <w:t xml:space="preserve"> Minoan cup </w:t>
      </w:r>
      <w:r>
        <w:rPr>
          <w:rFonts w:cs="Arial" w:ascii="Arial" w:hAnsi="Arial"/>
          <w:color w:val="252525"/>
          <w:sz w:val="19"/>
          <w:szCs w:val="19"/>
          <w:shd w:fill="F9F9F9" w:val="clear"/>
        </w:rPr>
        <w:t> Vasiliki Ware, </w:t>
      </w:r>
      <w:r>
        <w:rPr/>
        <w:t xml:space="preserve"> c 2200-1600 BCE</w:t>
      </w:r>
      <w:r>
        <w:rPr>
          <w:rFonts w:cs="Arial" w:ascii="Arial" w:hAnsi="Arial"/>
          <w:color w:val="000000"/>
          <w:sz w:val="36"/>
          <w:szCs w:val="36"/>
        </w:rPr>
        <w:t> </w:t>
      </w:r>
    </w:p>
    <w:p>
      <w:pPr>
        <w:pStyle w:val="Normal"/>
        <w:rPr/>
      </w:pPr>
      <w:r>
        <w:rPr>
          <w:rStyle w:val="StrongEmphasis"/>
        </w:rPr>
        <w:t>Geographical Area:</w:t>
      </w:r>
      <w:r>
        <w:rPr/>
        <w:t xml:space="preserve"> Lebena, Crete</w:t>
      </w:r>
    </w:p>
    <w:p>
      <w:pPr>
        <w:pStyle w:val="Normal"/>
        <w:rPr>
          <w:b/>
          <w:b/>
        </w:rPr>
      </w:pPr>
      <w:r>
        <w:rPr>
          <w:b/>
        </w:rPr>
        <w:t xml:space="preserve">Map: </w:t>
      </w:r>
    </w:p>
    <w:p>
      <w:pPr>
        <w:pStyle w:val="Normal"/>
        <w:rPr>
          <w:b/>
          <w:b/>
        </w:rPr>
      </w:pPr>
      <w:r>
        <w:rPr>
          <w:lang w:val="en-US" w:eastAsia="en-US"/>
        </w:rPr>
        <w:drawing>
          <wp:inline distT="0" distB="0" distL="0" distR="0">
            <wp:extent cx="6855460" cy="3209925"/>
            <wp:effectExtent l="0" t="0" r="0" b="0"/>
            <wp:docPr id="8"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title=""/>
                    <pic:cNvPicPr>
                      <a:picLocks noChangeAspect="1" noChangeArrowheads="1"/>
                    </pic:cNvPicPr>
                  </pic:nvPicPr>
                  <pic:blipFill>
                    <a:blip r:embed="rId23"/>
                    <a:srcRect l="-3" t="-7" r="-3" b="-7"/>
                    <a:stretch>
                      <a:fillRect/>
                    </a:stretch>
                  </pic:blipFill>
                  <pic:spPr bwMode="auto">
                    <a:xfrm>
                      <a:off x="0" y="0"/>
                      <a:ext cx="6855460" cy="3209925"/>
                    </a:xfrm>
                    <a:prstGeom prst="rect">
                      <a:avLst/>
                    </a:prstGeom>
                  </pic:spPr>
                </pic:pic>
              </a:graphicData>
            </a:graphic>
          </wp:inline>
        </w:drawing>
      </w:r>
    </w:p>
    <w:p>
      <w:pPr>
        <w:pStyle w:val="Normal"/>
        <w:rPr>
          <w:b/>
          <w:b/>
        </w:rPr>
      </w:pPr>
      <w:r>
        <w:rPr>
          <w:b/>
        </w:rPr>
        <w:t>GPS coordinates:</w:t>
      </w:r>
    </w:p>
    <w:p>
      <w:pPr>
        <w:pStyle w:val="Normal"/>
        <w:rPr/>
      </w:pPr>
      <w:r>
        <w:rPr/>
        <w:drawing>
          <wp:inline distT="0" distB="0" distL="0" distR="0">
            <wp:extent cx="6515100" cy="432816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24"/>
                    <a:srcRect l="-5" t="-8" r="-5" b="-8"/>
                    <a:stretch>
                      <a:fillRect/>
                    </a:stretch>
                  </pic:blipFill>
                  <pic:spPr bwMode="auto">
                    <a:xfrm>
                      <a:off x="0" y="0"/>
                      <a:ext cx="6515100" cy="4328160"/>
                    </a:xfrm>
                    <a:prstGeom prst="rect">
                      <a:avLst/>
                    </a:prstGeom>
                  </pic:spPr>
                </pic:pic>
              </a:graphicData>
            </a:graphic>
          </wp:inline>
        </w:drawing>
      </w:r>
    </w:p>
    <w:p>
      <w:pPr>
        <w:pStyle w:val="Normal"/>
        <w:rPr>
          <w:b/>
          <w:b/>
        </w:rPr>
      </w:pPr>
      <w:r>
        <w:rPr/>
        <w:t>Lebena Archaeological Site, Crete, with the imposition of a Christian Chapel over the shrine of the most sacred area, a typical way of attempting to desecrate an ancient pre-Christian holy site, which, of course, it did not.</w:t>
      </w:r>
    </w:p>
    <w:p>
      <w:pPr>
        <w:pStyle w:val="Normal"/>
        <w:rPr/>
      </w:pPr>
      <w:r>
        <w:rPr>
          <w:rStyle w:val="StrongEmphasis"/>
        </w:rPr>
        <w:t>Cultural Affiliation:</w:t>
      </w:r>
      <w:r>
        <w:rPr/>
        <w:t xml:space="preserve"> </w:t>
      </w:r>
    </w:p>
    <w:p>
      <w:pPr>
        <w:pStyle w:val="Normal"/>
        <w:rPr>
          <w:b/>
          <w:b/>
          <w:bCs/>
        </w:rPr>
      </w:pPr>
      <w:r>
        <w:rPr>
          <w:rStyle w:val="StrongEmphasis"/>
        </w:rPr>
        <w:t>Media:</w:t>
      </w:r>
      <w:r>
        <w:rPr/>
        <w:t xml:space="preserve"> </w:t>
      </w: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firstLine="720"/>
        <w:rPr/>
      </w:pPr>
      <w:r>
        <w:rPr/>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Liberation Sans">
    <w:altName w:val="Arial"/>
    <w:charset w:val="01" w:characterSet="utf-8"/>
    <w:family w:val="swiss"/>
    <w:pitch w:val="variable"/>
  </w:font>
  <w:font w:name="Georgia">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StrongEmphasis">
    <w:name w:val="Strong Emphasis"/>
    <w:qFormat/>
    <w:rPr>
      <w:b/>
      <w:bCs/>
    </w:rPr>
  </w:style>
  <w:style w:type="character" w:styleId="Heading3Char">
    <w:name w:val="Heading 3 Char"/>
    <w:qFormat/>
    <w:rPr>
      <w:b/>
      <w:bCs/>
      <w:sz w:val="27"/>
      <w:szCs w:val="27"/>
    </w:rPr>
  </w:style>
  <w:style w:type="character" w:styleId="InternetLink">
    <w:name w:val="Internet Link"/>
    <w:rPr>
      <w:color w:val="0000FF"/>
      <w:u w:val="single"/>
    </w:rPr>
  </w:style>
  <w:style w:type="character" w:styleId="Mwreflinktext">
    <w:name w:val="mw-reflink-text"/>
    <w:qFormat/>
    <w:rPr/>
  </w:style>
  <w:style w:type="character" w:styleId="Heading2Char">
    <w:name w:val="Heading 2 Char"/>
    <w:qFormat/>
    <w:rPr>
      <w:rFonts w:ascii="Calibri Light" w:hAnsi="Calibri Light" w:eastAsia="Times New Roman" w:cs="Times New Roman"/>
      <w:b/>
      <w:bCs/>
      <w:i/>
      <w:iCs/>
      <w:sz w:val="28"/>
      <w:szCs w:val="28"/>
    </w:rPr>
  </w:style>
  <w:style w:type="character" w:styleId="VisitedInternetLink">
    <w:name w:val="Visited Internet Link"/>
    <w:rPr>
      <w:color w:val="954F72"/>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web.archive.org/web/20040628062134/http:/ccwf.cc.utexas.edu/~bruceh/cc307/minoan/images/2d.jpg" TargetMode="External"/><Relationship Id="rId9" Type="http://schemas.openxmlformats.org/officeDocument/2006/relationships/hyperlink" Target="http://www.fhw.gr/chronos/02/crete/en/gallery/pm_pot10.html" TargetMode="External"/><Relationship Id="rId10" Type="http://schemas.openxmlformats.org/officeDocument/2006/relationships/hyperlink" Target="http://www.fhw.gr/chronos/02/crete/en/gallery/pm_pot9.html" TargetMode="External"/><Relationship Id="rId11" Type="http://schemas.openxmlformats.org/officeDocument/2006/relationships/hyperlink" Target="https://ipfs.io/ipfs/QmXoypizjW3WknFiJnKLwHCnL72vedxjQkDDP1mXWo6uco/wiki/Minoan_civilization.html" TargetMode="External"/><Relationship Id="rId12" Type="http://schemas.openxmlformats.org/officeDocument/2006/relationships/hyperlink" Target="https://ipfs.io/ipfs/QmXoypizjW3WknFiJnKLwHCnL72vedxjQkDDP1mXWo6uco/wiki/Arthur_Evans.html" TargetMode="External"/><Relationship Id="rId13" Type="http://schemas.openxmlformats.org/officeDocument/2006/relationships/hyperlink" Target="https://ipfs.io/ipfs/QmXoypizjW3WknFiJnKLwHCnL72vedxjQkDDP1mXWo6uco/wiki/Nikolaos_Platon.html" TargetMode="External"/><Relationship Id="rId14" Type="http://schemas.openxmlformats.org/officeDocument/2006/relationships/hyperlink" Target="https://ipfs.io/ipfs/QmXoypizjW3WknFiJnKLwHCnL72vedxjQkDDP1mXWo6uco/wiki/Minoan_chronology.html" TargetMode="External"/><Relationship Id="rId15" Type="http://schemas.openxmlformats.org/officeDocument/2006/relationships/hyperlink" Target="https://ipfs.io/ipfs/QmXoypizjW3WknFiJnKLwHCnL72vedxjQkDDP1mXWo6uco/wiki/Knossos.html" TargetMode="External"/><Relationship Id="rId16" Type="http://schemas.openxmlformats.org/officeDocument/2006/relationships/image" Target="media/image7.jpeg"/><Relationship Id="rId17" Type="http://schemas.openxmlformats.org/officeDocument/2006/relationships/hyperlink" Target="https://ipfs.io/ipfs/QmXoypizjW3WknFiJnKLwHCnL72vedxjQkDDP1mXWo6uco/wiki/Heracleion_Archaeological_Museum.html" TargetMode="External"/><Relationship Id="rId18" Type="http://schemas.openxmlformats.org/officeDocument/2006/relationships/hyperlink" Target="https://ipfs.io/ipfs/QmXoypizjW3WknFiJnKLwHCnL72vedxjQkDDP1mXWo6uco/wiki/Iraklio.html" TargetMode="External"/><Relationship Id="rId19" Type="http://schemas.openxmlformats.org/officeDocument/2006/relationships/hyperlink" Target="http://www.fhw.gr/chronos/02/crete/en/gallery/ceram17.html" TargetMode="External"/><Relationship Id="rId20" Type="http://schemas.openxmlformats.org/officeDocument/2006/relationships/hyperlink" Target="https://web.archive.org/web/20040628062134/http:/ccwf.cc.utexas.edu/~bruceh/cc307/minoan/images/2d.jpg" TargetMode="External"/><Relationship Id="rId21" Type="http://schemas.openxmlformats.org/officeDocument/2006/relationships/hyperlink" Target="http://www.fhw.gr/chronos/02/crete/en/gallery/pm_pot10.html" TargetMode="External"/><Relationship Id="rId22" Type="http://schemas.openxmlformats.org/officeDocument/2006/relationships/hyperlink" Target="http://www.fhw.gr/chronos/02/crete/en/gallery/pm_pot9.html" TargetMode="External"/><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2018-12-06T05:25:00Z</dcterms:created>
  <dc:creator>owner</dc:creator>
  <dc:description/>
  <cp:keywords/>
  <dc:language>en-US</dc:language>
  <cp:lastModifiedBy>Ralph Coffman</cp:lastModifiedBy>
  <dcterms:modified xsi:type="dcterms:W3CDTF">2018-12-11T03:08:00Z</dcterms:modified>
  <cp:revision>3</cp:revision>
  <dc:subject/>
  <dc:title>`DIS-Classification Outline</dc:title>
</cp:coreProperties>
</file>