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A000-EUR-Greece-Horse-Geometric Style-Bronze-850 BCE</w:t>
      </w:r>
    </w:p>
    <w:p>
      <w:pPr>
        <w:pStyle w:val="Normal"/>
        <w:rPr/>
      </w:pPr>
      <w:r>
        <w:rPr>
          <w:lang w:val="en-US" w:eastAsia="en-US"/>
        </w:rPr>
        <w:drawing>
          <wp:inline distT="0" distB="0" distL="0" distR="0">
            <wp:extent cx="4933950" cy="4219575"/>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rcRect l="-9" t="-11" r="-9" b="-11"/>
                    <a:stretch>
                      <a:fillRect/>
                    </a:stretch>
                  </pic:blipFill>
                  <pic:spPr bwMode="auto">
                    <a:xfrm>
                      <a:off x="0" y="0"/>
                      <a:ext cx="4933950" cy="4219575"/>
                    </a:xfrm>
                    <a:prstGeom prst="rect">
                      <a:avLst/>
                    </a:prstGeom>
                  </pic:spPr>
                </pic:pic>
              </a:graphicData>
            </a:graphic>
          </wp:inline>
        </w:drawing>
      </w:r>
      <w:r>
        <w:rPr>
          <w:rStyle w:val="StrongEmphasis"/>
        </w:rPr>
        <w:t xml:space="preserve"> </w:t>
      </w:r>
    </w:p>
    <w:p>
      <w:pPr>
        <w:pStyle w:val="Normal"/>
        <w:rPr>
          <w:lang w:val="en-US" w:eastAsia="en-US"/>
        </w:rPr>
      </w:pPr>
      <w:r>
        <w:rPr>
          <w:lang w:val="en-US" w:eastAsia="en-US"/>
        </w:rPr>
        <w:drawing>
          <wp:inline distT="0" distB="0" distL="0" distR="0">
            <wp:extent cx="4791075" cy="443865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10" t="-10" r="-10" b="-10"/>
                    <a:stretch>
                      <a:fillRect/>
                    </a:stretch>
                  </pic:blipFill>
                  <pic:spPr bwMode="auto">
                    <a:xfrm>
                      <a:off x="0" y="0"/>
                      <a:ext cx="4791075" cy="4438650"/>
                    </a:xfrm>
                    <a:prstGeom prst="rect">
                      <a:avLst/>
                    </a:prstGeom>
                  </pic:spPr>
                </pic:pic>
              </a:graphicData>
            </a:graphic>
          </wp:inline>
        </w:drawing>
      </w:r>
    </w:p>
    <w:p>
      <w:pPr>
        <w:pStyle w:val="Normal"/>
        <w:rPr>
          <w:rStyle w:val="StrongEmphasis"/>
        </w:rPr>
      </w:pPr>
      <w:r>
        <w:rPr/>
        <w:t>EUR-Greece-Horse-Geometric Style-Bronze-850 BCE</w:t>
      </w:r>
    </w:p>
    <w:p>
      <w:pPr>
        <w:pStyle w:val="Normal"/>
        <w:rPr>
          <w:rStyle w:val="StrongEmphasis"/>
        </w:rPr>
      </w:pPr>
      <w:r>
        <w:rPr>
          <w:rStyle w:val="StrongEmphasis"/>
        </w:rPr>
        <w:t>Case no.:4</w:t>
      </w:r>
    </w:p>
    <w:p>
      <w:pPr>
        <w:pStyle w:val="Normal"/>
        <w:rPr/>
      </w:pPr>
      <w:r>
        <w:rPr>
          <w:rStyle w:val="StrongEmphasis"/>
        </w:rPr>
        <w:t>Accession Number:</w:t>
      </w:r>
    </w:p>
    <w:p>
      <w:pPr>
        <w:pStyle w:val="NormalWeb"/>
        <w:shd w:fill="E5E5E5" w:val="clear"/>
        <w:spacing w:lineRule="atLeast" w:line="525" w:before="0" w:after="360"/>
        <w:rPr>
          <w:rStyle w:val="StrongEmphasis"/>
        </w:rPr>
      </w:pPr>
      <w:r>
        <w:rPr>
          <w:rStyle w:val="StrongEmphasis"/>
        </w:rPr>
        <w:t xml:space="preserve">Formal Label: </w:t>
      </w:r>
      <w:r>
        <w:rPr/>
        <w:t>EUR-Greece-Horse-Geometric Style-Bronze-850 BCE</w:t>
      </w:r>
    </w:p>
    <w:p>
      <w:pPr>
        <w:pStyle w:val="NormalWeb"/>
        <w:shd w:fill="E5E5E5" w:val="clear"/>
        <w:spacing w:lineRule="atLeast" w:line="525" w:before="0" w:after="360"/>
        <w:rPr>
          <w:rFonts w:ascii="Georgia" w:hAnsi="Georgia" w:cs="Georgia"/>
          <w:color w:val="000000"/>
          <w:spacing w:val="12"/>
          <w:sz w:val="35"/>
          <w:szCs w:val="35"/>
        </w:rPr>
      </w:pPr>
      <w:r>
        <w:rPr>
          <w:b/>
          <w:bCs/>
        </w:rPr>
        <w:t>Display Description:</w:t>
      </w:r>
      <w:r>
        <w:rPr>
          <w:rFonts w:cs="Georgia" w:ascii="Georgia" w:hAnsi="Georgia"/>
          <w:color w:val="000000"/>
          <w:spacing w:val="12"/>
          <w:sz w:val="35"/>
          <w:szCs w:val="35"/>
        </w:rPr>
        <w:t xml:space="preserve"> </w:t>
      </w:r>
    </w:p>
    <w:p>
      <w:pPr>
        <w:pStyle w:val="Normal"/>
        <w:rPr/>
      </w:pPr>
      <w:r>
        <w:rPr/>
        <w:t xml:space="preserve">Geometric Period Greek Art 900 to 700 BCE ushered in a time of dramatic social change leading to the founding of the polis or city-state and colonies in Asia Minor, southern Italy, and Sicily. </w:t>
      </w:r>
    </w:p>
    <w:p>
      <w:pPr>
        <w:pStyle w:val="Normal"/>
        <w:rPr/>
      </w:pPr>
      <w:r>
        <w:rPr/>
        <w:t xml:space="preserve">The collective body of epic poetry attributed to the twelfth c BCE poet, Homer, was gathered together, describing the Greek campaign against Troy (the Iliad) and Odysseus’ Ithaca homecoming (the Odyssey which provided a new appreciation for the previously lost Homeric past. Grave goods included metal objects of copper, tin, and gold, precious metals that were not indigenous to Greece. Most Greeks were sedentary agriculturists according to Hesiod (639–40), but mounted heroic warriors were also in the background as weapons and geometric bronze horses like this very rare example have been found in cemeteries. </w:t>
      </w:r>
    </w:p>
    <w:p>
      <w:pPr>
        <w:pStyle w:val="Normal"/>
        <w:rPr/>
      </w:pPr>
      <w:r>
        <w:rPr>
          <w:rStyle w:val="StrongEmphasis"/>
        </w:rPr>
        <w:t>LC Classification:</w:t>
      </w:r>
      <w:r>
        <w:rPr/>
        <w:t xml:space="preserve"> DF221.5</w:t>
      </w:r>
    </w:p>
    <w:p>
      <w:pPr>
        <w:pStyle w:val="Normal"/>
        <w:rPr/>
      </w:pPr>
      <w:r>
        <w:rPr>
          <w:rStyle w:val="StrongEmphasis"/>
        </w:rPr>
        <w:t>Date or Time Horizon:</w:t>
      </w:r>
      <w:r>
        <w:rPr/>
        <w:t xml:space="preserve"> 750 BCE</w:t>
      </w:r>
    </w:p>
    <w:p>
      <w:pPr>
        <w:pStyle w:val="Normal"/>
        <w:rPr>
          <w:rStyle w:val="StrongEmphasis"/>
          <w:b w:val="false"/>
          <w:b w:val="false"/>
        </w:rPr>
      </w:pPr>
      <w:r>
        <w:rPr>
          <w:rStyle w:val="StrongEmphasis"/>
        </w:rPr>
        <w:t xml:space="preserve">Geographical Area: </w:t>
      </w:r>
    </w:p>
    <w:p>
      <w:pPr>
        <w:pStyle w:val="Normal"/>
        <w:rPr/>
      </w:pPr>
      <w:r>
        <w:rPr>
          <w:rStyle w:val="StrongEmphasis"/>
        </w:rPr>
        <w:t xml:space="preserve">Map: </w:t>
      </w:r>
    </w:p>
    <w:p>
      <w:pPr>
        <w:pStyle w:val="Normal"/>
        <w:rPr>
          <w:color w:val="0000FF"/>
          <w:u w:val="single"/>
        </w:rPr>
      </w:pPr>
      <w:r>
        <w:rPr>
          <w:rStyle w:val="StrongEmphasis"/>
        </w:rPr>
        <w:t>GPS Coordinates:</w:t>
      </w:r>
      <w:r>
        <w:rPr/>
        <w:t xml:space="preserve"> </w:t>
      </w:r>
    </w:p>
    <w:p>
      <w:pPr>
        <w:pStyle w:val="Normal"/>
        <w:rPr/>
      </w:pPr>
      <w:r>
        <w:rPr>
          <w:rStyle w:val="StrongEmphasis"/>
        </w:rPr>
        <w:t>Cultural Affiliation:</w:t>
      </w:r>
      <w:r>
        <w:rPr/>
        <w:t xml:space="preserve"> Geometric Greece</w:t>
      </w:r>
    </w:p>
    <w:p>
      <w:pPr>
        <w:pStyle w:val="Normal"/>
        <w:rPr/>
      </w:pPr>
      <w:r>
        <w:rPr>
          <w:rStyle w:val="StrongEmphasis"/>
        </w:rPr>
        <w:t>Medium:</w:t>
      </w:r>
      <w:r>
        <w:rPr/>
        <w:t xml:space="preserve"> Bronze</w:t>
      </w:r>
    </w:p>
    <w:p>
      <w:pPr>
        <w:pStyle w:val="Normal"/>
        <w:rPr/>
      </w:pPr>
      <w:r>
        <w:rPr>
          <w:b/>
        </w:rPr>
        <w:t>Dimensions</w:t>
      </w:r>
      <w:r>
        <w:rPr/>
        <w:t xml:space="preserve">: </w:t>
        <w:br/>
      </w:r>
      <w:r>
        <w:rPr>
          <w:b/>
        </w:rPr>
        <w:t xml:space="preserve">Weight: </w:t>
      </w:r>
    </w:p>
    <w:p>
      <w:pPr>
        <w:pStyle w:val="Normal"/>
        <w:rPr>
          <w:b/>
          <w:b/>
        </w:rPr>
      </w:pPr>
      <w:r>
        <w:rPr>
          <w:b/>
        </w:rPr>
        <w:t>Provenance</w:t>
      </w:r>
      <w:r>
        <w:rPr>
          <w:rStyle w:val="StrongEmphasis"/>
          <w:b w:val="false"/>
        </w:rPr>
        <w:t xml:space="preserve">: </w:t>
      </w:r>
    </w:p>
    <w:p>
      <w:pPr>
        <w:pStyle w:val="Normal"/>
        <w:rPr>
          <w:b/>
          <w:b/>
        </w:rPr>
      </w:pPr>
      <w:r>
        <w:rPr>
          <w:b/>
        </w:rPr>
        <w:t xml:space="preserve">Condition: </w:t>
      </w:r>
    </w:p>
    <w:p>
      <w:pPr>
        <w:pStyle w:val="Normal"/>
        <w:rPr/>
      </w:pPr>
      <w:r>
        <w:rPr>
          <w:b/>
        </w:rPr>
        <w:t>Discussion:</w:t>
      </w:r>
    </w:p>
    <w:p>
      <w:pPr>
        <w:pStyle w:val="Normal"/>
        <w:rPr>
          <w:b/>
          <w:b/>
        </w:rPr>
      </w:pPr>
      <w:r>
        <w:rPr>
          <w:b/>
        </w:rPr>
        <w:t>References:</w:t>
      </w:r>
    </w:p>
    <w:p>
      <w:pPr>
        <w:pStyle w:val="NormalWeb"/>
        <w:shd w:fill="E5E5E5" w:val="clear"/>
        <w:spacing w:before="360" w:after="360"/>
        <w:rPr>
          <w:rFonts w:ascii="Georgia" w:hAnsi="Georgia" w:cs="Georgia"/>
          <w:color w:val="000000"/>
          <w:spacing w:val="12"/>
          <w:sz w:val="22"/>
          <w:szCs w:val="22"/>
        </w:rPr>
      </w:pPr>
      <w:r>
        <w:rPr>
          <w:rFonts w:cs="Arial" w:ascii="Arial" w:hAnsi="Arial"/>
          <w:color w:val="222222"/>
          <w:sz w:val="20"/>
          <w:szCs w:val="20"/>
          <w:shd w:fill="FFFFFF" w:val="clear"/>
        </w:rPr>
        <w:t>Coldstream, J.N., 2004. </w:t>
      </w:r>
      <w:r>
        <w:rPr>
          <w:rFonts w:cs="Arial" w:ascii="Arial" w:hAnsi="Arial"/>
          <w:i/>
          <w:iCs/>
          <w:color w:val="222222"/>
          <w:sz w:val="20"/>
          <w:szCs w:val="20"/>
          <w:shd w:fill="FFFFFF" w:val="clear"/>
        </w:rPr>
        <w:t>Geometric Greece: 900–700 BC</w:t>
      </w:r>
      <w:r>
        <w:rPr>
          <w:rFonts w:cs="Arial" w:ascii="Arial" w:hAnsi="Arial"/>
          <w:color w:val="222222"/>
          <w:sz w:val="20"/>
          <w:szCs w:val="20"/>
          <w:shd w:fill="FFFFFF" w:val="clear"/>
        </w:rPr>
        <w:t>. Routledge.</w:t>
      </w:r>
    </w:p>
    <w:p>
      <w:pPr>
        <w:pStyle w:val="NormalWeb"/>
        <w:shd w:fill="E5E5E5" w:val="clear"/>
        <w:spacing w:before="360" w:after="360"/>
        <w:rPr/>
      </w:pPr>
      <w:r>
        <w:rPr>
          <w:rFonts w:cs="Georgia" w:ascii="Georgia" w:hAnsi="Georgia"/>
          <w:color w:val="000000"/>
          <w:spacing w:val="12"/>
          <w:sz w:val="22"/>
          <w:szCs w:val="22"/>
        </w:rPr>
        <w:t>Garland, Robert. </w:t>
      </w:r>
      <w:r>
        <w:rPr>
          <w:rStyle w:val="Emphasis"/>
          <w:rFonts w:cs="Georgia" w:ascii="Georgia" w:hAnsi="Georgia"/>
          <w:color w:val="000000"/>
          <w:spacing w:val="12"/>
          <w:sz w:val="22"/>
          <w:szCs w:val="22"/>
        </w:rPr>
        <w:t>The Greek Way of Death</w:t>
      </w:r>
      <w:r>
        <w:rPr>
          <w:rFonts w:cs="Georgia" w:ascii="Georgia" w:hAnsi="Georgia"/>
          <w:color w:val="000000"/>
          <w:spacing w:val="12"/>
          <w:sz w:val="22"/>
          <w:szCs w:val="22"/>
        </w:rPr>
        <w:t>. Ithaca, N.Y.: Cornell University Press, 1985.</w:t>
      </w:r>
    </w:p>
    <w:p>
      <w:pPr>
        <w:pStyle w:val="NormalWeb"/>
        <w:shd w:fill="E5E5E5" w:val="clear"/>
        <w:spacing w:before="360" w:after="360"/>
        <w:rPr/>
      </w:pPr>
      <w:r>
        <w:rPr>
          <w:rFonts w:cs="Georgia" w:ascii="Georgia" w:hAnsi="Georgia"/>
          <w:color w:val="000000"/>
          <w:spacing w:val="12"/>
          <w:sz w:val="22"/>
          <w:szCs w:val="22"/>
        </w:rPr>
        <w:t>Hornblower, Simon, and Antony Spawforth, eds. </w:t>
      </w:r>
      <w:r>
        <w:rPr>
          <w:rStyle w:val="Emphasis"/>
          <w:rFonts w:cs="Georgia" w:ascii="Georgia" w:hAnsi="Georgia"/>
          <w:color w:val="000000"/>
          <w:spacing w:val="12"/>
          <w:sz w:val="22"/>
          <w:szCs w:val="22"/>
        </w:rPr>
        <w:t>The Oxford Classical Dictionary</w:t>
      </w:r>
      <w:r>
        <w:rPr>
          <w:rFonts w:cs="Georgia" w:ascii="Georgia" w:hAnsi="Georgia"/>
          <w:color w:val="000000"/>
          <w:spacing w:val="12"/>
          <w:sz w:val="22"/>
          <w:szCs w:val="22"/>
        </w:rPr>
        <w:t>. 3d ed., rev. New York: Oxford University Press, 2003.</w:t>
      </w:r>
    </w:p>
    <w:p>
      <w:pPr>
        <w:pStyle w:val="NormalWeb"/>
        <w:shd w:fill="E5E5E5" w:val="clear"/>
        <w:spacing w:before="360" w:after="360"/>
        <w:rPr/>
      </w:pPr>
      <w:r>
        <w:rPr>
          <w:rFonts w:cs="Georgia" w:ascii="Georgia" w:hAnsi="Georgia"/>
          <w:color w:val="000000"/>
          <w:spacing w:val="12"/>
          <w:sz w:val="22"/>
          <w:szCs w:val="22"/>
        </w:rPr>
        <w:t>Langdon, Susan, ed. </w:t>
      </w:r>
      <w:r>
        <w:rPr>
          <w:rStyle w:val="Emphasis"/>
          <w:rFonts w:cs="Georgia" w:ascii="Georgia" w:hAnsi="Georgia"/>
          <w:color w:val="000000"/>
          <w:spacing w:val="12"/>
          <w:sz w:val="22"/>
          <w:szCs w:val="22"/>
        </w:rPr>
        <w:t>From Pasture to Polis: Art in the Age of Homer</w:t>
      </w:r>
      <w:r>
        <w:rPr>
          <w:rFonts w:cs="Georgia" w:ascii="Georgia" w:hAnsi="Georgia"/>
          <w:color w:val="000000"/>
          <w:spacing w:val="12"/>
          <w:sz w:val="22"/>
          <w:szCs w:val="22"/>
        </w:rPr>
        <w:t>. Exhibition catalogue. Columbia: University of Missouri Press, 1993.</w:t>
      </w:r>
    </w:p>
    <w:p>
      <w:pPr>
        <w:pStyle w:val="NormalWeb"/>
        <w:shd w:fill="E5E5E5" w:val="clear"/>
        <w:spacing w:before="360" w:after="360"/>
        <w:rPr/>
      </w:pPr>
      <w:r>
        <w:rPr>
          <w:rFonts w:cs="Georgia" w:ascii="Georgia" w:hAnsi="Georgia"/>
          <w:color w:val="000000"/>
          <w:spacing w:val="12"/>
          <w:sz w:val="22"/>
          <w:szCs w:val="22"/>
        </w:rPr>
        <w:t>Lawrence, A. W. </w:t>
      </w:r>
      <w:r>
        <w:rPr>
          <w:rStyle w:val="Emphasis"/>
          <w:rFonts w:cs="Georgia" w:ascii="Georgia" w:hAnsi="Georgia"/>
          <w:color w:val="000000"/>
          <w:spacing w:val="12"/>
          <w:sz w:val="22"/>
          <w:szCs w:val="22"/>
        </w:rPr>
        <w:t>Greek Architecture</w:t>
      </w:r>
      <w:r>
        <w:rPr>
          <w:rFonts w:cs="Georgia" w:ascii="Georgia" w:hAnsi="Georgia"/>
          <w:color w:val="000000"/>
          <w:spacing w:val="12"/>
          <w:sz w:val="22"/>
          <w:szCs w:val="22"/>
        </w:rPr>
        <w:t>. 4th ed., rev. by R. A. Tomlinson. Harmondsworth: Penguin, 1983.</w:t>
      </w:r>
    </w:p>
    <w:p>
      <w:pPr>
        <w:pStyle w:val="NormalWeb"/>
        <w:shd w:fill="E5E5E5" w:val="clear"/>
        <w:spacing w:before="360" w:after="360"/>
        <w:rPr/>
      </w:pPr>
      <w:r>
        <w:rPr>
          <w:rFonts w:cs="Georgia" w:ascii="Georgia" w:hAnsi="Georgia"/>
          <w:color w:val="000000"/>
          <w:spacing w:val="12"/>
          <w:sz w:val="22"/>
          <w:szCs w:val="22"/>
        </w:rPr>
        <w:t>Padgett, J. Michael, ed. </w:t>
      </w:r>
      <w:r>
        <w:rPr>
          <w:rStyle w:val="Emphasis"/>
          <w:rFonts w:cs="Georgia" w:ascii="Georgia" w:hAnsi="Georgia"/>
          <w:color w:val="000000"/>
          <w:spacing w:val="12"/>
          <w:sz w:val="22"/>
          <w:szCs w:val="22"/>
        </w:rPr>
        <w:t>The Centaur's Smile: The Human Animal in Early Greek Art</w:t>
      </w:r>
      <w:r>
        <w:rPr>
          <w:rFonts w:cs="Georgia" w:ascii="Georgia" w:hAnsi="Georgia"/>
          <w:color w:val="000000"/>
          <w:spacing w:val="12"/>
          <w:sz w:val="22"/>
          <w:szCs w:val="22"/>
        </w:rPr>
        <w:t>. Exhibition catalogue. Princeton: Princeton University Art Museum, 2003.</w:t>
      </w:r>
    </w:p>
    <w:p>
      <w:pPr>
        <w:pStyle w:val="NormalWeb"/>
        <w:shd w:fill="E5E5E5" w:val="clear"/>
        <w:spacing w:before="360" w:after="360"/>
        <w:rPr/>
      </w:pPr>
      <w:r>
        <w:rPr>
          <w:rFonts w:cs="Georgia" w:ascii="Georgia" w:hAnsi="Georgia"/>
          <w:color w:val="000000"/>
          <w:spacing w:val="12"/>
          <w:sz w:val="22"/>
          <w:szCs w:val="22"/>
        </w:rPr>
        <w:t>Pedley, John Griffiths. </w:t>
      </w:r>
      <w:r>
        <w:rPr>
          <w:rStyle w:val="Emphasis"/>
          <w:rFonts w:cs="Georgia" w:ascii="Georgia" w:hAnsi="Georgia"/>
          <w:color w:val="000000"/>
          <w:spacing w:val="12"/>
          <w:sz w:val="22"/>
          <w:szCs w:val="22"/>
        </w:rPr>
        <w:t>Greek Art and Archaeology</w:t>
      </w:r>
      <w:r>
        <w:rPr>
          <w:rFonts w:cs="Georgia" w:ascii="Georgia" w:hAnsi="Georgia"/>
          <w:color w:val="000000"/>
          <w:spacing w:val="12"/>
          <w:sz w:val="22"/>
          <w:szCs w:val="22"/>
        </w:rPr>
        <w:t>. 2d ed. New York: Harry N. Abrams, 1998.</w:t>
      </w:r>
    </w:p>
    <w:p>
      <w:pPr>
        <w:pStyle w:val="NormalWeb"/>
        <w:shd w:fill="E5E5E5" w:val="clear"/>
        <w:spacing w:before="360" w:after="360"/>
        <w:rPr/>
      </w:pPr>
      <w:r>
        <w:rPr>
          <w:rFonts w:cs="Georgia" w:ascii="Georgia" w:hAnsi="Georgia"/>
          <w:color w:val="000000"/>
          <w:spacing w:val="12"/>
          <w:sz w:val="22"/>
          <w:szCs w:val="22"/>
        </w:rPr>
        <w:t>Schweitzer, Bernhard. </w:t>
      </w:r>
      <w:r>
        <w:rPr>
          <w:rStyle w:val="Emphasis"/>
          <w:rFonts w:cs="Georgia" w:ascii="Georgia" w:hAnsi="Georgia"/>
          <w:color w:val="000000"/>
          <w:spacing w:val="12"/>
          <w:sz w:val="22"/>
          <w:szCs w:val="22"/>
        </w:rPr>
        <w:t>Greek Geometric Art</w:t>
      </w:r>
      <w:r>
        <w:rPr>
          <w:rFonts w:cs="Georgia" w:ascii="Georgia" w:hAnsi="Georgia"/>
          <w:color w:val="000000"/>
          <w:spacing w:val="12"/>
          <w:sz w:val="22"/>
          <w:szCs w:val="22"/>
        </w:rPr>
        <w:t>. New York: Phaidon, 1971.</w:t>
      </w:r>
    </w:p>
    <w:p>
      <w:pPr>
        <w:pStyle w:val="Normal"/>
        <w:rPr/>
      </w:pPr>
      <w:r>
        <w:rPr/>
        <w:t xml:space="preserve">Appendix: </w:t>
      </w:r>
    </w:p>
    <w:p>
      <w:pPr>
        <w:pStyle w:val="Heading1"/>
        <w:shd w:fill="FFF1E5" w:val="clear"/>
        <w:spacing w:lineRule="atLeast" w:line="480" w:before="0" w:after="300"/>
        <w:rPr>
          <w:rFonts w:ascii="Times New Roman" w:hAnsi="Times New Roman" w:cs="Times New Roman"/>
          <w:b w:val="false"/>
          <w:b w:val="false"/>
          <w:sz w:val="24"/>
          <w:szCs w:val="24"/>
        </w:rPr>
      </w:pPr>
      <w:r>
        <w:rPr>
          <w:lang w:val="en-US" w:eastAsia="en-US"/>
        </w:rPr>
        <w:drawing>
          <wp:inline distT="0" distB="0" distL="0" distR="0">
            <wp:extent cx="6494145" cy="3655060"/>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7" t="-12" r="-7" b="-12"/>
                    <a:stretch>
                      <a:fillRect/>
                    </a:stretch>
                  </pic:blipFill>
                  <pic:spPr bwMode="auto">
                    <a:xfrm>
                      <a:off x="0" y="0"/>
                      <a:ext cx="6494145" cy="3655060"/>
                    </a:xfrm>
                    <a:prstGeom prst="rect">
                      <a:avLst/>
                    </a:prstGeom>
                  </pic:spPr>
                </pic:pic>
              </a:graphicData>
            </a:graphic>
          </wp:inline>
        </w:drawing>
      </w:r>
      <w:r>
        <w:rPr/>
        <w:br/>
      </w:r>
      <w:r>
        <w:rPr>
          <w:rFonts w:cs="Times New Roman" w:ascii="Times New Roman" w:hAnsi="Times New Roman"/>
          <w:b w:val="false"/>
          <w:sz w:val="24"/>
          <w:szCs w:val="24"/>
        </w:rPr>
        <w:t xml:space="preserve">“The statuette, dating from the eighth century BC and given an estimate of $150,000 to $250,000, was due to have been sold in Sotheby’s New York salerooms on May 14 with other sculptures from the Barnets’ collection. One of the highlights of the auction, the stylised horse from the Geometric Period was featured on the cover of the catalogue.” From “Sotheby’s takes Greece to court in antiquities test case,” </w:t>
      </w:r>
      <w:hyperlink r:id="rId5">
        <w:r>
          <w:rPr>
            <w:rStyle w:val="InternetLink"/>
            <w:rFonts w:cs="Times New Roman" w:ascii="Times New Roman" w:hAnsi="Times New Roman"/>
            <w:b/>
            <w:i/>
            <w:sz w:val="24"/>
            <w:szCs w:val="24"/>
          </w:rPr>
          <w:t>https://www.ft.com/content/e8c59de8-68cd-11e8-8cf3-0c230fa67aec</w:t>
        </w:r>
      </w:hyperlink>
      <w:r>
        <w:rPr>
          <w:rFonts w:cs="Times New Roman" w:ascii="Times New Roman" w:hAnsi="Times New Roman"/>
          <w:b w:val="false"/>
          <w:i/>
          <w:sz w:val="24"/>
          <w:szCs w:val="24"/>
        </w:rPr>
        <w:t xml:space="preserve"> 29 Nov. 2018</w:t>
      </w:r>
      <w:r>
        <w:rPr>
          <w:rFonts w:cs="Times New Roman" w:ascii="Times New Roman" w:hAnsi="Times New Roman"/>
          <w:b w:val="false"/>
          <w:sz w:val="24"/>
          <w:szCs w:val="24"/>
        </w:rPr>
        <w:t>.</w:t>
      </w:r>
    </w:p>
    <w:p>
      <w:pPr>
        <w:pStyle w:val="Normal"/>
        <w:rPr>
          <w:rFonts w:ascii="Times New Roman" w:hAnsi="Times New Roman" w:cs="Times New Roman"/>
          <w:b/>
          <w:b/>
          <w:sz w:val="24"/>
          <w:szCs w:val="24"/>
        </w:rPr>
      </w:pPr>
      <w:r>
        <w:rPr>
          <w:rFonts w:cs="Times New Roman"/>
          <w:b/>
          <w:sz w:val="24"/>
          <w:szCs w:val="24"/>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Light">
    <w:charset w:val="00" w:characterSet="windows-1252"/>
    <w:family w:val="swiss"/>
    <w:pitch w:val="variable"/>
  </w:font>
  <w:font w:name="Liberation Sans">
    <w:altName w:val="Arial"/>
    <w:charset w:val="01" w:characterSet="utf-8"/>
    <w:family w:val="swiss"/>
    <w:pitch w:val="variable"/>
  </w:font>
  <w:font w:name="Georgia">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Calibri Light" w:hAnsi="Calibri Light" w:eastAsia="Times New Roman" w:cs="Times New Roman"/>
      <w:b/>
      <w:bCs/>
      <w:kern w:val="2"/>
      <w:sz w:val="32"/>
      <w:szCs w:val="32"/>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sz w:val="20"/>
    </w:rPr>
  </w:style>
  <w:style w:type="character" w:styleId="DefaultParagraphFont">
    <w:name w:val="Default Paragraph Font"/>
    <w:qFormat/>
    <w:rPr/>
  </w:style>
  <w:style w:type="character" w:styleId="StrongEmphasis">
    <w:name w:val="Strong Emphasis"/>
    <w:qFormat/>
    <w:rPr>
      <w:b/>
      <w:bCs/>
    </w:rPr>
  </w:style>
  <w:style w:type="character" w:styleId="Fn">
    <w:name w:val="fn"/>
    <w:qFormat/>
    <w:rPr/>
  </w:style>
  <w:style w:type="character" w:styleId="Nickname">
    <w:name w:val="nickname"/>
    <w:qFormat/>
    <w:rPr/>
  </w:style>
  <w:style w:type="character" w:styleId="Category">
    <w:name w:val="category"/>
    <w:qFormat/>
    <w:rPr/>
  </w:style>
  <w:style w:type="character" w:styleId="InternetLink">
    <w:name w:val="Internet Link"/>
    <w:rPr>
      <w:color w:val="0000FF"/>
      <w:u w:val="single"/>
    </w:rPr>
  </w:style>
  <w:style w:type="character" w:styleId="Plainlinks">
    <w:name w:val="plainlinks"/>
    <w:qFormat/>
    <w:rPr/>
  </w:style>
  <w:style w:type="character" w:styleId="Geodec">
    <w:name w:val="geo-dec"/>
    <w:qFormat/>
    <w:rPr/>
  </w:style>
  <w:style w:type="character" w:styleId="Heading3Char">
    <w:name w:val="Heading 3 Char"/>
    <w:qFormat/>
    <w:rPr>
      <w:b/>
      <w:bCs/>
      <w:sz w:val="27"/>
      <w:szCs w:val="27"/>
    </w:rPr>
  </w:style>
  <w:style w:type="character" w:styleId="Mwheadline">
    <w:name w:val="mw-headline"/>
    <w:qFormat/>
    <w:rPr/>
  </w:style>
  <w:style w:type="character" w:styleId="Mweditsection">
    <w:name w:val="mw-editsection"/>
    <w:qFormat/>
    <w:rPr/>
  </w:style>
  <w:style w:type="character" w:styleId="Mweditsectionbracket">
    <w:name w:val="mw-editsection-bracket"/>
    <w:qFormat/>
    <w:rPr/>
  </w:style>
  <w:style w:type="character" w:styleId="Emphasis">
    <w:name w:val="Emphasis"/>
    <w:qFormat/>
    <w:rPr>
      <w:i/>
      <w:iCs/>
    </w:rPr>
  </w:style>
  <w:style w:type="character" w:styleId="Applestylespan">
    <w:name w:val="apple-style-span"/>
    <w:qFormat/>
    <w:rPr/>
  </w:style>
  <w:style w:type="character" w:styleId="VisitedInternetLink">
    <w:name w:val="Visited Internet Link"/>
    <w:rPr>
      <w:color w:val="954F72"/>
      <w:u w:val="single"/>
    </w:rPr>
  </w:style>
  <w:style w:type="character" w:styleId="Heading1Char">
    <w:name w:val="Heading 1 Char"/>
    <w:qFormat/>
    <w:rPr>
      <w:rFonts w:ascii="Calibri Light" w:hAnsi="Calibri Light" w:eastAsia="Times New Roman" w:cs="Times New Roman"/>
      <w:b/>
      <w:bCs/>
      <w:kern w:val="2"/>
      <w:sz w:val="32"/>
      <w:szCs w:val="32"/>
    </w:rPr>
  </w:style>
  <w:style w:type="character" w:styleId="Articleclassifiergap">
    <w:name w:val="article-classifier__gap"/>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ft.com/content/e8c59de8-68cd-11e8-8cf3-0c230fa67aec"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2018-11-29T09:33:00Z</dcterms:created>
  <dc:creator>owner</dc:creator>
  <dc:description/>
  <cp:keywords/>
  <dc:language>en-US</dc:language>
  <cp:lastModifiedBy>murcott</cp:lastModifiedBy>
  <dcterms:modified xsi:type="dcterms:W3CDTF">2018-11-29T09:50:00Z</dcterms:modified>
  <cp:revision>3</cp:revision>
  <dc:subject/>
  <dc:title>`DIS-Classification Outline</dc:title>
</cp:coreProperties>
</file>