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7EA" w:rsidRDefault="008D17EA" w:rsidP="008D17EA">
      <w:pPr>
        <w:rPr>
          <w:lang w:val="fr-FR"/>
        </w:rPr>
      </w:pPr>
      <w:bookmarkStart w:id="0" w:name="_GoBack"/>
      <w:r w:rsidRPr="00126530">
        <w:rPr>
          <w:lang w:val="fr-FR"/>
        </w:rPr>
        <w:t>A</w:t>
      </w:r>
      <w:r w:rsidR="00DC5B0F">
        <w:rPr>
          <w:lang w:val="fr-FR"/>
        </w:rPr>
        <w:t>104</w:t>
      </w:r>
      <w:r w:rsidRPr="00126530">
        <w:rPr>
          <w:lang w:val="fr-FR"/>
        </w:rPr>
        <w:t>-Eur-Roman-Lamp-Clay</w:t>
      </w:r>
    </w:p>
    <w:bookmarkEnd w:id="0"/>
    <w:p w:rsidR="00DC5B0F" w:rsidRDefault="00DC5B0F" w:rsidP="008D17EA">
      <w:pPr>
        <w:rPr>
          <w:lang w:val="fr-FR"/>
        </w:rPr>
      </w:pPr>
    </w:p>
    <w:p w:rsidR="008D17EA" w:rsidRDefault="008D17EA" w:rsidP="008D17EA">
      <w:pPr>
        <w:rPr>
          <w:rStyle w:val="Strong"/>
        </w:rPr>
      </w:pPr>
      <w:r>
        <w:rPr>
          <w:rStyle w:val="Strong"/>
        </w:rPr>
        <w:t>Case No.: 4</w:t>
      </w:r>
    </w:p>
    <w:p w:rsidR="008D17EA" w:rsidRDefault="008D17EA" w:rsidP="008D17EA">
      <w:pPr>
        <w:rPr>
          <w:rStyle w:val="Strong"/>
        </w:rPr>
      </w:pPr>
      <w:r>
        <w:rPr>
          <w:rStyle w:val="Strong"/>
        </w:rPr>
        <w:t>Accession Number: A93-A94-A95-A96-A97</w:t>
      </w:r>
    </w:p>
    <w:p w:rsidR="008D17EA" w:rsidRDefault="008D17EA" w:rsidP="008D17EA">
      <w:pPr>
        <w:rPr>
          <w:rStyle w:val="Strong"/>
        </w:rPr>
      </w:pPr>
      <w:r>
        <w:rPr>
          <w:rStyle w:val="Strong"/>
        </w:rPr>
        <w:t xml:space="preserve">Formal Label: Roman-Lamp-Clay </w:t>
      </w:r>
    </w:p>
    <w:p w:rsidR="008D17EA" w:rsidRDefault="008D17EA" w:rsidP="008D17EA">
      <w:pPr>
        <w:rPr>
          <w:b/>
        </w:rPr>
      </w:pPr>
      <w:r>
        <w:rPr>
          <w:b/>
        </w:rPr>
        <w:t>Display Description:</w:t>
      </w:r>
    </w:p>
    <w:p w:rsidR="008D17EA" w:rsidRDefault="008D17EA" w:rsidP="008D17EA">
      <w:pPr>
        <w:ind w:firstLine="720"/>
        <w:rPr>
          <w:rStyle w:val="results-note-excessively-long"/>
        </w:rPr>
      </w:pPr>
      <w:r>
        <w:rPr>
          <w:rStyle w:val="results-note-excessively-long"/>
        </w:rPr>
        <w:t>For the ancient Romans, lamps were more than just a way to be able to see in the dark—they were mythical muses, witnesses to secrets, and instruments of the supernatural. Far more familiar to the average Roman than the high art of mosaics, statues, or frescos, lamps created the atmosphere of day-to-day life in the homes, workshops, and public houses of Roman provincial towns.</w:t>
      </w:r>
    </w:p>
    <w:p w:rsidR="001917C8" w:rsidRDefault="001917C8" w:rsidP="001917C8">
      <w:pPr>
        <w:pStyle w:val="Default"/>
        <w:rPr>
          <w:sz w:val="13"/>
          <w:szCs w:val="13"/>
        </w:rPr>
      </w:pPr>
      <w:r>
        <w:rPr>
          <w:sz w:val="20"/>
          <w:szCs w:val="20"/>
        </w:rPr>
        <w:t>I</w:t>
      </w:r>
      <w:r>
        <w:rPr>
          <w:sz w:val="20"/>
          <w:szCs w:val="20"/>
        </w:rPr>
        <w:t>t is especially within sanctuaries that we have evidence for their large-scale employment. In the Greek world and in Cyprus a significant growth in the sophistication, scale and proliferation of forms and materials of lamps can be observed from the 7th century BC onwards</w:t>
      </w:r>
      <w:r>
        <w:rPr>
          <w:sz w:val="13"/>
          <w:szCs w:val="13"/>
        </w:rPr>
        <w:t>24</w:t>
      </w:r>
      <w:r>
        <w:rPr>
          <w:sz w:val="20"/>
          <w:szCs w:val="20"/>
        </w:rPr>
        <w:t xml:space="preserve">. Finely made decorated and occasionally inscribed lamps were frequently dedicated in sanctuaries, from which they were regularly cleared to be deposited in </w:t>
      </w:r>
      <w:proofErr w:type="spellStart"/>
      <w:r>
        <w:rPr>
          <w:sz w:val="20"/>
          <w:szCs w:val="20"/>
        </w:rPr>
        <w:t>bothroi</w:t>
      </w:r>
      <w:proofErr w:type="spellEnd"/>
      <w:r>
        <w:rPr>
          <w:sz w:val="20"/>
          <w:szCs w:val="20"/>
        </w:rPr>
        <w:t xml:space="preserve"> along with other dedications. Large quantities of lamps were uncovered in some sanctuaries in East Greece, for example at </w:t>
      </w:r>
      <w:proofErr w:type="spellStart"/>
      <w:r>
        <w:rPr>
          <w:sz w:val="20"/>
          <w:szCs w:val="20"/>
        </w:rPr>
        <w:t>Miletos</w:t>
      </w:r>
      <w:proofErr w:type="spellEnd"/>
      <w:r>
        <w:rPr>
          <w:sz w:val="20"/>
          <w:szCs w:val="20"/>
        </w:rPr>
        <w:t>, Knidos and Halicarnassos;</w:t>
      </w:r>
      <w:r>
        <w:rPr>
          <w:sz w:val="13"/>
          <w:szCs w:val="13"/>
        </w:rPr>
        <w:t xml:space="preserve">25 </w:t>
      </w:r>
      <w:r>
        <w:rPr>
          <w:sz w:val="20"/>
          <w:szCs w:val="20"/>
        </w:rPr>
        <w:t>more modest yet still substantial numbers were found at Naukratis.</w:t>
      </w:r>
      <w:r>
        <w:rPr>
          <w:sz w:val="13"/>
          <w:szCs w:val="13"/>
        </w:rPr>
        <w:t xml:space="preserve">26 </w:t>
      </w:r>
    </w:p>
    <w:p w:rsidR="001917C8" w:rsidRDefault="001917C8" w:rsidP="001917C8">
      <w:pPr>
        <w:pStyle w:val="Default"/>
        <w:rPr>
          <w:sz w:val="13"/>
          <w:szCs w:val="13"/>
        </w:rPr>
      </w:pPr>
      <w:r>
        <w:rPr>
          <w:sz w:val="20"/>
          <w:szCs w:val="20"/>
        </w:rPr>
        <w:t>The integral role of lamps in the cults of the gods meant that new forms were developed for specific use within Greek sanctuaries, such as multiple nozzle ‘sanctuary lamps’ (Fig. 5).</w:t>
      </w:r>
      <w:r>
        <w:rPr>
          <w:sz w:val="13"/>
          <w:szCs w:val="13"/>
        </w:rPr>
        <w:t xml:space="preserve">27 </w:t>
      </w:r>
      <w:r>
        <w:rPr>
          <w:sz w:val="20"/>
          <w:szCs w:val="20"/>
        </w:rPr>
        <w:t>Lamps were integral to a variety of different ritual practices: as a votive gift to the gods for use during specific rituals such as sacrifices, during oath taking, ritual meals and nocturnal feasts.</w:t>
      </w:r>
      <w:r>
        <w:rPr>
          <w:sz w:val="13"/>
          <w:szCs w:val="13"/>
        </w:rPr>
        <w:t xml:space="preserve">28 </w:t>
      </w:r>
      <w:r>
        <w:rPr>
          <w:sz w:val="20"/>
          <w:szCs w:val="20"/>
        </w:rPr>
        <w:t>The important role of lamps in funerary rituals meant that they became a significant part of the furniture of burials, something also seen at Naukratis.</w:t>
      </w:r>
      <w:r>
        <w:rPr>
          <w:sz w:val="13"/>
          <w:szCs w:val="13"/>
        </w:rPr>
        <w:t xml:space="preserve">29 </w:t>
      </w:r>
    </w:p>
    <w:p w:rsidR="0094552F" w:rsidRDefault="001917C8" w:rsidP="001917C8">
      <w:pPr>
        <w:pStyle w:val="Default"/>
        <w:rPr>
          <w:sz w:val="16"/>
          <w:szCs w:val="16"/>
        </w:rPr>
      </w:pPr>
      <w:r>
        <w:rPr>
          <w:sz w:val="10"/>
          <w:szCs w:val="10"/>
        </w:rPr>
        <w:t xml:space="preserve">24 </w:t>
      </w:r>
      <w:r>
        <w:rPr>
          <w:sz w:val="16"/>
          <w:szCs w:val="16"/>
        </w:rPr>
        <w:t xml:space="preserve">Bailey 1975, 9; </w:t>
      </w:r>
    </w:p>
    <w:p w:rsidR="00EF1613" w:rsidRDefault="00EF1613" w:rsidP="001917C8">
      <w:pPr>
        <w:pStyle w:val="Default"/>
        <w:rPr>
          <w:sz w:val="16"/>
          <w:szCs w:val="16"/>
        </w:rPr>
      </w:pPr>
      <w:r>
        <w:rPr>
          <w:noProof/>
        </w:rPr>
        <w:drawing>
          <wp:inline distT="0" distB="0" distL="0" distR="0" wp14:anchorId="3215C282" wp14:editId="6765E751">
            <wp:extent cx="33242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4225" cy="1724025"/>
                    </a:xfrm>
                    <a:prstGeom prst="rect">
                      <a:avLst/>
                    </a:prstGeom>
                  </pic:spPr>
                </pic:pic>
              </a:graphicData>
            </a:graphic>
          </wp:inline>
        </w:drawing>
      </w:r>
    </w:p>
    <w:p w:rsidR="0094552F" w:rsidRDefault="0094552F" w:rsidP="0094552F">
      <w:r w:rsidRPr="009F027C">
        <w:rPr>
          <w:highlight w:val="yellow"/>
        </w:rPr>
        <w:t xml:space="preserve">Bailey, D.M. 1975, </w:t>
      </w:r>
      <w:r w:rsidRPr="009F027C">
        <w:rPr>
          <w:rStyle w:val="Emphasis"/>
          <w:highlight w:val="yellow"/>
        </w:rPr>
        <w:t xml:space="preserve">Catalogue of the Lamps in the British Museum 1: Greek, Hellenistic and </w:t>
      </w:r>
      <w:r w:rsidRPr="009F027C">
        <w:rPr>
          <w:highlight w:val="yellow"/>
        </w:rPr>
        <w:t>Early Roman Pottery Lamps, London.</w:t>
      </w:r>
    </w:p>
    <w:p w:rsidR="001917C8" w:rsidRDefault="001917C8" w:rsidP="0094552F">
      <w:proofErr w:type="spellStart"/>
      <w:r w:rsidRPr="0094552F">
        <w:t>Parisinou</w:t>
      </w:r>
      <w:proofErr w:type="spellEnd"/>
      <w:r w:rsidRPr="0094552F">
        <w:t xml:space="preserve"> 2000, 11–19, 136–9, 162. </w:t>
      </w:r>
    </w:p>
    <w:p w:rsidR="009F027C" w:rsidRPr="0094552F" w:rsidRDefault="009F027C" w:rsidP="0094552F">
      <w:proofErr w:type="spellStart"/>
      <w:r w:rsidRPr="009F027C">
        <w:rPr>
          <w:highlight w:val="yellow"/>
        </w:rPr>
        <w:t>Parisinou</w:t>
      </w:r>
      <w:proofErr w:type="spellEnd"/>
      <w:r w:rsidRPr="009F027C">
        <w:rPr>
          <w:highlight w:val="yellow"/>
        </w:rPr>
        <w:t xml:space="preserve">, E. 2000, </w:t>
      </w:r>
      <w:r w:rsidRPr="009F027C">
        <w:rPr>
          <w:rStyle w:val="Emphasis"/>
          <w:highlight w:val="yellow"/>
        </w:rPr>
        <w:t>The Light of the Gods: The Role of Light in Archaic and Classical Greek Cult</w:t>
      </w:r>
      <w:r w:rsidRPr="009F027C">
        <w:rPr>
          <w:highlight w:val="yellow"/>
        </w:rPr>
        <w:t>, Trowbridge.</w:t>
      </w:r>
    </w:p>
    <w:p w:rsidR="009F027C" w:rsidRDefault="001917C8" w:rsidP="0094552F">
      <w:r w:rsidRPr="0094552F">
        <w:t xml:space="preserve">25 </w:t>
      </w:r>
      <w:proofErr w:type="spellStart"/>
      <w:r w:rsidRPr="0094552F">
        <w:t>Selesnow</w:t>
      </w:r>
      <w:proofErr w:type="spellEnd"/>
      <w:r w:rsidRPr="0094552F">
        <w:t xml:space="preserve"> 1997;</w:t>
      </w:r>
    </w:p>
    <w:p w:rsidR="009F027C" w:rsidRDefault="009F027C" w:rsidP="0094552F">
      <w:proofErr w:type="spellStart"/>
      <w:r>
        <w:t>Selesnow</w:t>
      </w:r>
      <w:proofErr w:type="spellEnd"/>
      <w:r>
        <w:t>, W. 1997, ‘</w:t>
      </w:r>
      <w:proofErr w:type="spellStart"/>
      <w:r>
        <w:t>Ausgewählte</w:t>
      </w:r>
      <w:proofErr w:type="spellEnd"/>
      <w:r>
        <w:t xml:space="preserve"> </w:t>
      </w:r>
      <w:proofErr w:type="spellStart"/>
      <w:r>
        <w:t>Lampen</w:t>
      </w:r>
      <w:proofErr w:type="spellEnd"/>
      <w:r>
        <w:t xml:space="preserve"> </w:t>
      </w:r>
      <w:proofErr w:type="spellStart"/>
      <w:r>
        <w:t>vom</w:t>
      </w:r>
      <w:proofErr w:type="spellEnd"/>
      <w:r>
        <w:t xml:space="preserve"> </w:t>
      </w:r>
      <w:proofErr w:type="spellStart"/>
      <w:r>
        <w:t>Kalabak</w:t>
      </w:r>
      <w:proofErr w:type="spellEnd"/>
      <w:r>
        <w:t xml:space="preserve">- und </w:t>
      </w:r>
      <w:proofErr w:type="spellStart"/>
      <w:r>
        <w:t>Zeytintepe</w:t>
      </w:r>
      <w:proofErr w:type="spellEnd"/>
      <w:r>
        <w:t xml:space="preserve">’, </w:t>
      </w:r>
      <w:proofErr w:type="spellStart"/>
      <w:r>
        <w:rPr>
          <w:rStyle w:val="Emphasis"/>
        </w:rPr>
        <w:t>Archäologischer</w:t>
      </w:r>
      <w:proofErr w:type="spellEnd"/>
      <w:r>
        <w:rPr>
          <w:rStyle w:val="Emphasis"/>
        </w:rPr>
        <w:t xml:space="preserve"> </w:t>
      </w:r>
      <w:proofErr w:type="spellStart"/>
      <w:r>
        <w:rPr>
          <w:rStyle w:val="Emphasis"/>
        </w:rPr>
        <w:t>Anzeiger</w:t>
      </w:r>
      <w:proofErr w:type="spellEnd"/>
      <w:r>
        <w:t xml:space="preserve"> 1997, 137–43.</w:t>
      </w:r>
      <w:r w:rsidR="001917C8" w:rsidRPr="0094552F">
        <w:t xml:space="preserve"> </w:t>
      </w:r>
    </w:p>
    <w:p w:rsidR="001917C8" w:rsidRPr="0094552F" w:rsidRDefault="001917C8" w:rsidP="0094552F">
      <w:r w:rsidRPr="0094552F">
        <w:t xml:space="preserve">Bailey 1975, 9. </w:t>
      </w:r>
    </w:p>
    <w:p w:rsidR="0094552F" w:rsidRDefault="001917C8" w:rsidP="0094552F">
      <w:r w:rsidRPr="0094552F">
        <w:t xml:space="preserve">26 Petrie 1886a, 45, pl. 44; </w:t>
      </w:r>
    </w:p>
    <w:p w:rsidR="0094552F" w:rsidRDefault="001917C8" w:rsidP="0094552F">
      <w:r w:rsidRPr="0094552F">
        <w:t xml:space="preserve">Gardner 1888, 48; </w:t>
      </w:r>
    </w:p>
    <w:p w:rsidR="0094552F" w:rsidRDefault="0094552F" w:rsidP="0094552F">
      <w:r>
        <w:t xml:space="preserve">Gardner, E.A. 1888, </w:t>
      </w:r>
      <w:proofErr w:type="spellStart"/>
      <w:r>
        <w:rPr>
          <w:rStyle w:val="Emphasis"/>
        </w:rPr>
        <w:t>Naukratis</w:t>
      </w:r>
      <w:proofErr w:type="spellEnd"/>
      <w:r>
        <w:rPr>
          <w:rStyle w:val="Emphasis"/>
        </w:rPr>
        <w:t>. Part II</w:t>
      </w:r>
      <w:r>
        <w:t xml:space="preserve"> (Sixth Memoir of the Egypt Exploration Fund), London.</w:t>
      </w:r>
    </w:p>
    <w:p w:rsidR="001917C8" w:rsidRDefault="001917C8" w:rsidP="0094552F">
      <w:r w:rsidRPr="0094552F">
        <w:t xml:space="preserve">Hogarth 1898–9, 30, 55. </w:t>
      </w:r>
    </w:p>
    <w:p w:rsidR="009F027C" w:rsidRPr="0094552F" w:rsidRDefault="009F027C" w:rsidP="0094552F">
      <w:r>
        <w:t xml:space="preserve">Hogarth, D.G., Edgar, C.C. and </w:t>
      </w:r>
      <w:proofErr w:type="spellStart"/>
      <w:r>
        <w:t>Gutch</w:t>
      </w:r>
      <w:proofErr w:type="spellEnd"/>
      <w:r>
        <w:t xml:space="preserve">, C. 1898–9, ‘Excavations at </w:t>
      </w:r>
      <w:proofErr w:type="spellStart"/>
      <w:r>
        <w:t>Naukratis</w:t>
      </w:r>
      <w:proofErr w:type="spellEnd"/>
      <w:r>
        <w:t xml:space="preserve">’, </w:t>
      </w:r>
      <w:r>
        <w:rPr>
          <w:rStyle w:val="Emphasis"/>
        </w:rPr>
        <w:t>The Annual of the British School at Athens</w:t>
      </w:r>
      <w:r>
        <w:t xml:space="preserve"> 5, 26–97.</w:t>
      </w:r>
    </w:p>
    <w:p w:rsidR="0094552F" w:rsidRDefault="001917C8" w:rsidP="0094552F">
      <w:r w:rsidRPr="0094552F">
        <w:t xml:space="preserve">27 Bailey 1972, 12; </w:t>
      </w:r>
    </w:p>
    <w:p w:rsidR="009F027C" w:rsidRDefault="001917C8" w:rsidP="0094552F">
      <w:r w:rsidRPr="0094552F">
        <w:t>Barrett 2008, 58;</w:t>
      </w:r>
    </w:p>
    <w:p w:rsidR="0094552F" w:rsidRDefault="009F027C" w:rsidP="0094552F">
      <w:r>
        <w:t xml:space="preserve">Barrett, C.E. 2011, </w:t>
      </w:r>
      <w:proofErr w:type="spellStart"/>
      <w:r>
        <w:rPr>
          <w:rStyle w:val="Emphasis"/>
        </w:rPr>
        <w:t>Egyptianizing</w:t>
      </w:r>
      <w:proofErr w:type="spellEnd"/>
      <w:r>
        <w:rPr>
          <w:rStyle w:val="Emphasis"/>
        </w:rPr>
        <w:t xml:space="preserve"> Figurines from Delos: A Study in Hellenistic Religion</w:t>
      </w:r>
      <w:r>
        <w:t>, Leiden.</w:t>
      </w:r>
      <w:r w:rsidR="001917C8" w:rsidRPr="0094552F">
        <w:t xml:space="preserve"> </w:t>
      </w:r>
    </w:p>
    <w:p w:rsidR="001917C8" w:rsidRDefault="001917C8" w:rsidP="0094552F">
      <w:proofErr w:type="spellStart"/>
      <w:r w:rsidRPr="0094552F">
        <w:t>Broneer</w:t>
      </w:r>
      <w:proofErr w:type="spellEnd"/>
      <w:r w:rsidRPr="0094552F">
        <w:t xml:space="preserve"> 1977, 1. </w:t>
      </w:r>
    </w:p>
    <w:p w:rsidR="009F027C" w:rsidRPr="0094552F" w:rsidRDefault="009F027C" w:rsidP="0094552F">
      <w:proofErr w:type="spellStart"/>
      <w:r>
        <w:t>Broneer</w:t>
      </w:r>
      <w:proofErr w:type="spellEnd"/>
      <w:r>
        <w:t xml:space="preserve">, O. 1977, </w:t>
      </w:r>
      <w:proofErr w:type="spellStart"/>
      <w:r>
        <w:rPr>
          <w:rStyle w:val="Emphasis"/>
        </w:rPr>
        <w:t>Isthmia</w:t>
      </w:r>
      <w:proofErr w:type="spellEnd"/>
      <w:r>
        <w:rPr>
          <w:rStyle w:val="Emphasis"/>
        </w:rPr>
        <w:t>, 3. Terracotta Lamps,</w:t>
      </w:r>
      <w:r>
        <w:t xml:space="preserve"> Princeton.</w:t>
      </w:r>
    </w:p>
    <w:p w:rsidR="001917C8" w:rsidRPr="0094552F" w:rsidRDefault="001917C8" w:rsidP="0094552F">
      <w:r w:rsidRPr="0094552F">
        <w:t xml:space="preserve">28 </w:t>
      </w:r>
      <w:proofErr w:type="spellStart"/>
      <w:r w:rsidRPr="0094552F">
        <w:t>Parisinou</w:t>
      </w:r>
      <w:proofErr w:type="spellEnd"/>
      <w:r w:rsidRPr="0094552F">
        <w:t xml:space="preserve"> 2000, 136–61. </w:t>
      </w:r>
    </w:p>
    <w:p w:rsidR="001917C8" w:rsidRPr="0094552F" w:rsidRDefault="001917C8" w:rsidP="0094552F">
      <w:r w:rsidRPr="0094552F">
        <w:t xml:space="preserve">29 Gardner 1888, 26, 29.  </w:t>
      </w:r>
    </w:p>
    <w:p w:rsidR="0094552F" w:rsidRDefault="0094552F" w:rsidP="0094552F">
      <w:pPr>
        <w:pStyle w:val="Default"/>
      </w:pPr>
    </w:p>
    <w:p w:rsidR="0094552F" w:rsidRPr="0094552F" w:rsidRDefault="0094552F" w:rsidP="0094552F">
      <w:r w:rsidRPr="0094552F">
        <w:t xml:space="preserve"> </w:t>
      </w:r>
      <w:proofErr w:type="spellStart"/>
      <w:r w:rsidRPr="0094552F">
        <w:t>Naukratis</w:t>
      </w:r>
      <w:proofErr w:type="spellEnd"/>
      <w:r w:rsidRPr="0094552F">
        <w:t xml:space="preserve">: Greeks in Egypt </w:t>
      </w:r>
    </w:p>
    <w:p w:rsidR="0094552F" w:rsidRPr="0094552F" w:rsidRDefault="0094552F" w:rsidP="0094552F">
      <w:r w:rsidRPr="0094552F">
        <w:t xml:space="preserve">Alexandra </w:t>
      </w:r>
      <w:proofErr w:type="spellStart"/>
      <w:r w:rsidRPr="0094552F">
        <w:t>Villing</w:t>
      </w:r>
      <w:proofErr w:type="spellEnd"/>
      <w:r w:rsidRPr="0094552F">
        <w:t xml:space="preserve">, Marianne Bergeron, </w:t>
      </w:r>
      <w:proofErr w:type="spellStart"/>
      <w:r w:rsidRPr="0094552F">
        <w:t>Giorgos</w:t>
      </w:r>
      <w:proofErr w:type="spellEnd"/>
      <w:r w:rsidRPr="0094552F">
        <w:t xml:space="preserve"> </w:t>
      </w:r>
      <w:proofErr w:type="spellStart"/>
      <w:r w:rsidRPr="0094552F">
        <w:t>Bourogiannis</w:t>
      </w:r>
      <w:proofErr w:type="spellEnd"/>
      <w:r w:rsidRPr="0094552F">
        <w:t xml:space="preserve">, Alan Johnston, François </w:t>
      </w:r>
      <w:proofErr w:type="spellStart"/>
      <w:r w:rsidRPr="0094552F">
        <w:t>Leclère</w:t>
      </w:r>
      <w:proofErr w:type="spellEnd"/>
      <w:r w:rsidRPr="0094552F">
        <w:t xml:space="preserve">, </w:t>
      </w:r>
      <w:proofErr w:type="spellStart"/>
      <w:r w:rsidRPr="0094552F">
        <w:t>Aurélia</w:t>
      </w:r>
      <w:proofErr w:type="spellEnd"/>
      <w:r w:rsidRPr="0094552F">
        <w:t xml:space="preserve"> Masson and </w:t>
      </w:r>
    </w:p>
    <w:p w:rsidR="0094552F" w:rsidRPr="0094552F" w:rsidRDefault="0094552F" w:rsidP="0094552F">
      <w:r w:rsidRPr="0094552F">
        <w:t xml:space="preserve">Ross Thomas </w:t>
      </w:r>
    </w:p>
    <w:p w:rsidR="0094552F" w:rsidRPr="0094552F" w:rsidRDefault="0094552F" w:rsidP="0094552F">
      <w:r w:rsidRPr="0094552F">
        <w:t xml:space="preserve">With Daniel von Recklinghausen, Jeffrey Spencer, Valerie Smallwood, Virginia Webb and </w:t>
      </w:r>
    </w:p>
    <w:p w:rsidR="0094552F" w:rsidRPr="0094552F" w:rsidRDefault="0094552F" w:rsidP="0094552F">
      <w:r w:rsidRPr="0094552F">
        <w:t xml:space="preserve">Susan Woodford </w:t>
      </w:r>
    </w:p>
    <w:p w:rsidR="0094552F" w:rsidRPr="0094552F" w:rsidRDefault="0094552F" w:rsidP="0094552F">
      <w:r w:rsidRPr="0094552F">
        <w:t xml:space="preserve">http://www.britishmuseum.org/naukratis </w:t>
      </w:r>
    </w:p>
    <w:p w:rsidR="0094552F" w:rsidRPr="0094552F" w:rsidRDefault="0094552F" w:rsidP="0094552F">
      <w:r w:rsidRPr="0094552F">
        <w:t xml:space="preserve">Lamps in terracotta and bronze </w:t>
      </w:r>
    </w:p>
    <w:p w:rsidR="0094552F" w:rsidRPr="0094552F" w:rsidRDefault="0094552F" w:rsidP="0094552F">
      <w:r w:rsidRPr="0094552F">
        <w:t>Ross Thomas</w:t>
      </w:r>
    </w:p>
    <w:p w:rsidR="001917C8" w:rsidRDefault="001917C8" w:rsidP="0094552F">
      <w:pPr>
        <w:pBdr>
          <w:bottom w:val="double" w:sz="6" w:space="1" w:color="auto"/>
        </w:pBdr>
      </w:pPr>
      <w:r w:rsidRPr="0094552F">
        <w:t>2. Production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80"/>
      </w:tblGrid>
      <w:tr w:rsidR="00EF1613" w:rsidRPr="00EF1613" w:rsidTr="00EF1613">
        <w:trPr>
          <w:tblCellSpacing w:w="15" w:type="dxa"/>
        </w:trPr>
        <w:tc>
          <w:tcPr>
            <w:tcW w:w="4970" w:type="pct"/>
            <w:vAlign w:val="center"/>
            <w:hideMark/>
          </w:tcPr>
          <w:p w:rsidR="00EF1613" w:rsidRDefault="00EF1613" w:rsidP="00EF1613">
            <w:r>
              <w:rPr>
                <w:noProof/>
                <w:lang w:eastAsia="en-US"/>
              </w:rPr>
              <w:drawing>
                <wp:inline distT="0" distB="0" distL="0" distR="0" wp14:anchorId="4EDF3960" wp14:editId="2C610EC1">
                  <wp:extent cx="263842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425" cy="3724275"/>
                          </a:xfrm>
                          <a:prstGeom prst="rect">
                            <a:avLst/>
                          </a:prstGeom>
                        </pic:spPr>
                      </pic:pic>
                    </a:graphicData>
                  </a:graphic>
                </wp:inline>
              </w:drawing>
            </w:r>
            <w:r w:rsidRPr="00EF1613">
              <w:t xml:space="preserve"> </w:t>
            </w:r>
          </w:p>
          <w:p w:rsidR="00EF1613" w:rsidRPr="00EF1613" w:rsidRDefault="00EF1613" w:rsidP="00EF1613">
            <w:r w:rsidRPr="00EF1613">
              <w:t xml:space="preserve">Period: Roman </w:t>
            </w:r>
            <w:r w:rsidRPr="00EF1613">
              <w:br/>
            </w:r>
            <w:r w:rsidRPr="00EF1613">
              <w:br/>
              <w:t xml:space="preserve">Origin: Balkans, possibly Pannonia </w:t>
            </w:r>
            <w:r w:rsidRPr="00EF1613">
              <w:br/>
            </w:r>
            <w:r w:rsidRPr="00EF1613">
              <w:br/>
              <w:t xml:space="preserve">Date: 70 – 200 AD </w:t>
            </w:r>
          </w:p>
        </w:tc>
      </w:tr>
      <w:tr w:rsidR="00EF1613" w:rsidRPr="00EF1613" w:rsidTr="00EF1613">
        <w:trPr>
          <w:tblCellSpacing w:w="15" w:type="dxa"/>
        </w:trPr>
        <w:tc>
          <w:tcPr>
            <w:tcW w:w="4970" w:type="pct"/>
            <w:vAlign w:val="center"/>
            <w:hideMark/>
          </w:tcPr>
          <w:p w:rsidR="00EF1613" w:rsidRPr="00EF1613" w:rsidRDefault="00EF1613" w:rsidP="00EF1613">
            <w:r w:rsidRPr="00EF1613">
              <w:t>Description:</w:t>
            </w:r>
            <w:r w:rsidRPr="00EF1613">
              <w:br/>
            </w:r>
            <w:r w:rsidRPr="00EF1613">
              <w:br/>
              <w:t xml:space="preserve">Box lamp, with three nozzles. Handle decorated as leaf. </w:t>
            </w:r>
          </w:p>
        </w:tc>
      </w:tr>
    </w:tbl>
    <w:p w:rsidR="00EF1613" w:rsidRPr="00EF1613" w:rsidRDefault="00EF1613" w:rsidP="00EF1613"/>
    <w:p w:rsidR="00EF1613" w:rsidRPr="00EF1613" w:rsidRDefault="00EF1613" w:rsidP="00EF1613">
      <w:r w:rsidRPr="00EF1613">
        <w:t xml:space="preserve">Cf. </w:t>
      </w:r>
      <w:proofErr w:type="spellStart"/>
      <w:r w:rsidRPr="00EF1613">
        <w:t>Szentléleky</w:t>
      </w:r>
      <w:proofErr w:type="spellEnd"/>
      <w:r w:rsidRPr="00EF1613">
        <w:t xml:space="preserve">, 167, 268; </w:t>
      </w:r>
    </w:p>
    <w:p w:rsidR="00EF1613" w:rsidRPr="00EF1613" w:rsidRDefault="00EF1613" w:rsidP="00EF1613">
      <w:proofErr w:type="spellStart"/>
      <w:r w:rsidRPr="00EF1613">
        <w:t>Menzel</w:t>
      </w:r>
      <w:proofErr w:type="spellEnd"/>
      <w:r w:rsidRPr="00EF1613">
        <w:t xml:space="preserve">, 489, 492; </w:t>
      </w:r>
    </w:p>
    <w:p w:rsidR="00EF1613" w:rsidRPr="00EF1613" w:rsidRDefault="00EF1613" w:rsidP="00EF1613">
      <w:proofErr w:type="spellStart"/>
      <w:r w:rsidRPr="00EF1613">
        <w:t>Krunic</w:t>
      </w:r>
      <w:proofErr w:type="spellEnd"/>
      <w:r w:rsidRPr="00EF1613">
        <w:t xml:space="preserve">, 32-3; </w:t>
      </w:r>
    </w:p>
    <w:p w:rsidR="00EF1613" w:rsidRPr="00EF1613" w:rsidRDefault="00EF1613" w:rsidP="00EF1613">
      <w:r w:rsidRPr="00EF1613">
        <w:t xml:space="preserve">(Egyptian) BMC III, Q1971-6; </w:t>
      </w:r>
    </w:p>
    <w:p w:rsidR="00EF1613" w:rsidRPr="00EF1613" w:rsidRDefault="00EF1613" w:rsidP="00EF1613">
      <w:proofErr w:type="spellStart"/>
      <w:r w:rsidRPr="00EF1613">
        <w:t>Menzel</w:t>
      </w:r>
      <w:proofErr w:type="spellEnd"/>
      <w:r w:rsidRPr="00EF1613">
        <w:t>, 488;</w:t>
      </w:r>
    </w:p>
    <w:p w:rsidR="00EF1613" w:rsidRPr="00EF1613" w:rsidRDefault="00EF1613" w:rsidP="00EF1613">
      <w:r w:rsidRPr="00EF1613">
        <w:t xml:space="preserve"> Hayes, 186-9; </w:t>
      </w:r>
    </w:p>
    <w:p w:rsidR="00EF1613" w:rsidRPr="00EF1613" w:rsidRDefault="00EF1613" w:rsidP="00EF1613">
      <w:proofErr w:type="spellStart"/>
      <w:r w:rsidRPr="00EF1613">
        <w:rPr>
          <w:highlight w:val="yellow"/>
        </w:rPr>
        <w:t>Djuric</w:t>
      </w:r>
      <w:proofErr w:type="spellEnd"/>
      <w:r w:rsidRPr="00EF1613">
        <w:rPr>
          <w:highlight w:val="yellow"/>
        </w:rPr>
        <w:t>, C146-7;</w:t>
      </w:r>
      <w:r w:rsidRPr="00EF1613">
        <w:t xml:space="preserve"> </w:t>
      </w:r>
    </w:p>
    <w:p w:rsidR="00EF1613" w:rsidRDefault="00EF1613" w:rsidP="00EF1613">
      <w:r w:rsidRPr="00EF1613">
        <w:t xml:space="preserve">(Palestinian) Israeli &amp; </w:t>
      </w:r>
      <w:proofErr w:type="spellStart"/>
      <w:r w:rsidRPr="00EF1613">
        <w:t>Avida</w:t>
      </w:r>
      <w:proofErr w:type="spellEnd"/>
      <w:r w:rsidRPr="00EF1613">
        <w:t>, 130.</w:t>
      </w:r>
    </w:p>
    <w:p w:rsidR="00EF1613" w:rsidRDefault="00EF1613" w:rsidP="00EF1613">
      <w:pPr>
        <w:rPr>
          <w:rFonts w:ascii="Arial" w:hAnsi="Arial" w:cs="Arial"/>
          <w:sz w:val="20"/>
          <w:szCs w:val="20"/>
        </w:rPr>
      </w:pPr>
      <w:r>
        <w:rPr>
          <w:rFonts w:ascii="Arial" w:hAnsi="Arial" w:cs="Arial"/>
          <w:b/>
          <w:bCs/>
          <w:sz w:val="20"/>
          <w:szCs w:val="20"/>
        </w:rPr>
        <w:t xml:space="preserve">D.M. Bailey, </w:t>
      </w:r>
      <w:r>
        <w:rPr>
          <w:rFonts w:ascii="Arial" w:hAnsi="Arial" w:cs="Arial"/>
          <w:b/>
          <w:bCs/>
          <w:i/>
          <w:iCs/>
          <w:sz w:val="20"/>
          <w:szCs w:val="20"/>
        </w:rPr>
        <w:t>A Catalogue of Lamps in the British Museum</w:t>
      </w:r>
      <w:r>
        <w:rPr>
          <w:rFonts w:ascii="Arial" w:hAnsi="Arial" w:cs="Arial"/>
          <w:b/>
          <w:bCs/>
          <w:sz w:val="20"/>
          <w:szCs w:val="20"/>
        </w:rPr>
        <w:t>, British Museum, 1975-96.</w:t>
      </w:r>
      <w:r>
        <w:br/>
      </w:r>
      <w:r>
        <w:rPr>
          <w:rFonts w:ascii="Arial" w:hAnsi="Arial" w:cs="Arial"/>
          <w:sz w:val="20"/>
          <w:szCs w:val="20"/>
        </w:rPr>
        <w:t>(ISBN 0714112437, 0714112593, 071411278X, 0714122068)</w:t>
      </w:r>
      <w:r>
        <w:br/>
      </w:r>
      <w:r>
        <w:rPr>
          <w:rFonts w:ascii="Arial" w:hAnsi="Arial" w:cs="Arial"/>
          <w:sz w:val="20"/>
          <w:szCs w:val="20"/>
        </w:rPr>
        <w:lastRenderedPageBreak/>
        <w:t>Huge catalogue in four quarto volumes, THE lamp bible but extremely expensive even second-hand. Referred to as BMC.</w:t>
      </w:r>
      <w:r>
        <w:br/>
      </w:r>
      <w:r>
        <w:rPr>
          <w:rFonts w:ascii="Arial" w:hAnsi="Arial" w:cs="Arial"/>
          <w:sz w:val="20"/>
          <w:szCs w:val="20"/>
        </w:rPr>
        <w:br/>
      </w:r>
      <w:r>
        <w:rPr>
          <w:rFonts w:ascii="Arial" w:hAnsi="Arial" w:cs="Arial"/>
          <w:b/>
          <w:bCs/>
          <w:sz w:val="20"/>
          <w:szCs w:val="20"/>
        </w:rPr>
        <w:t xml:space="preserve">H.B. Walters, </w:t>
      </w:r>
      <w:r>
        <w:rPr>
          <w:rFonts w:ascii="Arial" w:hAnsi="Arial" w:cs="Arial"/>
          <w:b/>
          <w:bCs/>
          <w:i/>
          <w:iCs/>
          <w:sz w:val="20"/>
          <w:szCs w:val="20"/>
        </w:rPr>
        <w:t>Catalogue of the Greek and Roman Lamps in the British Museum</w:t>
      </w:r>
      <w:r>
        <w:rPr>
          <w:rFonts w:ascii="Arial" w:hAnsi="Arial" w:cs="Arial"/>
          <w:b/>
          <w:bCs/>
          <w:sz w:val="20"/>
          <w:szCs w:val="20"/>
        </w:rPr>
        <w:t>, British Museum, 1914.</w:t>
      </w:r>
      <w:r>
        <w:br/>
      </w:r>
      <w:proofErr w:type="spellStart"/>
      <w:r>
        <w:rPr>
          <w:rFonts w:ascii="Arial" w:hAnsi="Arial" w:cs="Arial"/>
          <w:sz w:val="20"/>
          <w:szCs w:val="20"/>
        </w:rPr>
        <w:t>Superceded</w:t>
      </w:r>
      <w:proofErr w:type="spellEnd"/>
      <w:r>
        <w:rPr>
          <w:rFonts w:ascii="Arial" w:hAnsi="Arial" w:cs="Arial"/>
          <w:sz w:val="20"/>
          <w:szCs w:val="20"/>
        </w:rPr>
        <w:t xml:space="preserve"> by Bailey but still worthwhile and much cheaper if you can find an old copy.</w:t>
      </w:r>
      <w:r>
        <w:br/>
      </w:r>
      <w:r>
        <w:rPr>
          <w:rFonts w:ascii="Arial" w:hAnsi="Arial" w:cs="Arial"/>
          <w:sz w:val="20"/>
          <w:szCs w:val="20"/>
        </w:rPr>
        <w:br/>
      </w:r>
      <w:r>
        <w:rPr>
          <w:rFonts w:ascii="Arial" w:hAnsi="Arial" w:cs="Arial"/>
          <w:b/>
          <w:bCs/>
          <w:sz w:val="20"/>
          <w:szCs w:val="20"/>
        </w:rPr>
        <w:t xml:space="preserve">J.W. Hayes, </w:t>
      </w:r>
      <w:r>
        <w:rPr>
          <w:rFonts w:ascii="Arial" w:hAnsi="Arial" w:cs="Arial"/>
          <w:b/>
          <w:bCs/>
          <w:i/>
          <w:iCs/>
          <w:sz w:val="20"/>
          <w:szCs w:val="20"/>
        </w:rPr>
        <w:t>Ancient Lamps in the Royal Ontario Museum - I: Greek and Roman Clay Lamps</w:t>
      </w:r>
      <w:r>
        <w:rPr>
          <w:rFonts w:ascii="Arial" w:hAnsi="Arial" w:cs="Arial"/>
          <w:b/>
          <w:bCs/>
          <w:sz w:val="20"/>
          <w:szCs w:val="20"/>
        </w:rPr>
        <w:t>, ROM, 1980.</w:t>
      </w:r>
      <w:r>
        <w:rPr>
          <w:rFonts w:ascii="Arial" w:hAnsi="Arial" w:cs="Arial"/>
          <w:sz w:val="20"/>
          <w:szCs w:val="20"/>
        </w:rPr>
        <w:br/>
        <w:t>(ISBN 0888542534)</w:t>
      </w:r>
      <w:r>
        <w:br/>
      </w:r>
      <w:r>
        <w:rPr>
          <w:rFonts w:ascii="Arial" w:hAnsi="Arial" w:cs="Arial"/>
          <w:sz w:val="20"/>
          <w:szCs w:val="20"/>
        </w:rPr>
        <w:t>Another superb catalogue and excellent reference, perhaps second only to Bailey.</w:t>
      </w:r>
      <w:r>
        <w:br/>
      </w:r>
      <w:r>
        <w:rPr>
          <w:rFonts w:ascii="Arial" w:hAnsi="Arial" w:cs="Arial"/>
          <w:sz w:val="20"/>
          <w:szCs w:val="20"/>
        </w:rPr>
        <w:br/>
      </w:r>
      <w:proofErr w:type="spellStart"/>
      <w:r w:rsidRPr="00DE7C5C">
        <w:rPr>
          <w:rFonts w:ascii="Arial" w:hAnsi="Arial" w:cs="Arial"/>
          <w:b/>
          <w:bCs/>
          <w:sz w:val="20"/>
          <w:szCs w:val="20"/>
          <w:highlight w:val="yellow"/>
        </w:rPr>
        <w:t>Srdjan</w:t>
      </w:r>
      <w:proofErr w:type="spellEnd"/>
      <w:r w:rsidRPr="00DE7C5C">
        <w:rPr>
          <w:rFonts w:ascii="Arial" w:hAnsi="Arial" w:cs="Arial"/>
          <w:b/>
          <w:bCs/>
          <w:sz w:val="20"/>
          <w:szCs w:val="20"/>
          <w:highlight w:val="yellow"/>
        </w:rPr>
        <w:t xml:space="preserve"> </w:t>
      </w:r>
      <w:proofErr w:type="spellStart"/>
      <w:r w:rsidRPr="00DE7C5C">
        <w:rPr>
          <w:rFonts w:ascii="Arial" w:hAnsi="Arial" w:cs="Arial"/>
          <w:b/>
          <w:bCs/>
          <w:sz w:val="20"/>
          <w:szCs w:val="20"/>
          <w:highlight w:val="yellow"/>
        </w:rPr>
        <w:t>Djuric</w:t>
      </w:r>
      <w:proofErr w:type="spellEnd"/>
      <w:r w:rsidRPr="00DE7C5C">
        <w:rPr>
          <w:rFonts w:ascii="Arial" w:hAnsi="Arial" w:cs="Arial"/>
          <w:b/>
          <w:bCs/>
          <w:sz w:val="20"/>
          <w:szCs w:val="20"/>
          <w:highlight w:val="yellow"/>
        </w:rPr>
        <w:t xml:space="preserve">, </w:t>
      </w:r>
      <w:r w:rsidRPr="00DE7C5C">
        <w:rPr>
          <w:rFonts w:ascii="Arial" w:hAnsi="Arial" w:cs="Arial"/>
          <w:b/>
          <w:bCs/>
          <w:i/>
          <w:iCs/>
          <w:sz w:val="20"/>
          <w:szCs w:val="20"/>
          <w:highlight w:val="yellow"/>
        </w:rPr>
        <w:t xml:space="preserve">The </w:t>
      </w:r>
      <w:proofErr w:type="spellStart"/>
      <w:r w:rsidRPr="00DE7C5C">
        <w:rPr>
          <w:rFonts w:ascii="Arial" w:hAnsi="Arial" w:cs="Arial"/>
          <w:b/>
          <w:bCs/>
          <w:i/>
          <w:iCs/>
          <w:sz w:val="20"/>
          <w:szCs w:val="20"/>
          <w:highlight w:val="yellow"/>
        </w:rPr>
        <w:t>Anawati</w:t>
      </w:r>
      <w:proofErr w:type="spellEnd"/>
      <w:r w:rsidRPr="00DE7C5C">
        <w:rPr>
          <w:rFonts w:ascii="Arial" w:hAnsi="Arial" w:cs="Arial"/>
          <w:b/>
          <w:bCs/>
          <w:i/>
          <w:iCs/>
          <w:sz w:val="20"/>
          <w:szCs w:val="20"/>
          <w:highlight w:val="yellow"/>
        </w:rPr>
        <w:t xml:space="preserve"> Collection Catalog I - Ancient Lamps from the Mediterranean</w:t>
      </w:r>
      <w:r w:rsidRPr="00DE7C5C">
        <w:rPr>
          <w:rFonts w:ascii="Arial" w:hAnsi="Arial" w:cs="Arial"/>
          <w:b/>
          <w:bCs/>
          <w:sz w:val="20"/>
          <w:szCs w:val="20"/>
          <w:highlight w:val="yellow"/>
        </w:rPr>
        <w:t xml:space="preserve">, </w:t>
      </w:r>
      <w:proofErr w:type="spellStart"/>
      <w:r w:rsidRPr="00DE7C5C">
        <w:rPr>
          <w:rFonts w:ascii="Arial" w:hAnsi="Arial" w:cs="Arial"/>
          <w:b/>
          <w:bCs/>
          <w:sz w:val="20"/>
          <w:szCs w:val="20"/>
          <w:highlight w:val="yellow"/>
        </w:rPr>
        <w:t>Eika</w:t>
      </w:r>
      <w:proofErr w:type="spellEnd"/>
      <w:r w:rsidRPr="00DE7C5C">
        <w:rPr>
          <w:rFonts w:ascii="Arial" w:hAnsi="Arial" w:cs="Arial"/>
          <w:b/>
          <w:bCs/>
          <w:sz w:val="20"/>
          <w:szCs w:val="20"/>
          <w:highlight w:val="yellow"/>
        </w:rPr>
        <w:t>, 1995.</w:t>
      </w:r>
      <w:r>
        <w:rPr>
          <w:rFonts w:ascii="Arial" w:hAnsi="Arial" w:cs="Arial"/>
          <w:sz w:val="20"/>
          <w:szCs w:val="20"/>
        </w:rPr>
        <w:br/>
        <w:t>(ISBN 1896463029)</w:t>
      </w:r>
      <w:r>
        <w:br/>
      </w:r>
      <w:r>
        <w:rPr>
          <w:rFonts w:ascii="Arial" w:hAnsi="Arial" w:cs="Arial"/>
          <w:sz w:val="20"/>
          <w:szCs w:val="20"/>
        </w:rPr>
        <w:t>Less academic than the museum catalogues and short on dating but comprehensive (within its specified area, i.e. not Northern Europe) and extensively illustrated.</w:t>
      </w:r>
      <w:r>
        <w:br/>
      </w:r>
      <w:r>
        <w:rPr>
          <w:rFonts w:ascii="Arial" w:hAnsi="Arial" w:cs="Arial"/>
          <w:sz w:val="20"/>
          <w:szCs w:val="20"/>
        </w:rPr>
        <w:br/>
      </w:r>
      <w:r w:rsidRPr="00EF1613">
        <w:rPr>
          <w:rFonts w:ascii="Arial" w:hAnsi="Arial" w:cs="Arial"/>
          <w:b/>
          <w:bCs/>
          <w:sz w:val="20"/>
          <w:szCs w:val="20"/>
          <w:lang w:val="fr-FR"/>
        </w:rPr>
        <w:t xml:space="preserve">Lyon-Caen &amp; </w:t>
      </w:r>
      <w:proofErr w:type="spellStart"/>
      <w:r w:rsidRPr="00EF1613">
        <w:rPr>
          <w:rFonts w:ascii="Arial" w:hAnsi="Arial" w:cs="Arial"/>
          <w:b/>
          <w:bCs/>
          <w:sz w:val="20"/>
          <w:szCs w:val="20"/>
          <w:lang w:val="fr-FR"/>
        </w:rPr>
        <w:t>Hoff</w:t>
      </w:r>
      <w:proofErr w:type="spellEnd"/>
      <w:r w:rsidRPr="00EF1613">
        <w:rPr>
          <w:rFonts w:ascii="Arial" w:hAnsi="Arial" w:cs="Arial"/>
          <w:b/>
          <w:bCs/>
          <w:sz w:val="20"/>
          <w:szCs w:val="20"/>
          <w:lang w:val="fr-FR"/>
        </w:rPr>
        <w:t xml:space="preserve">, </w:t>
      </w:r>
      <w:r w:rsidRPr="00EF1613">
        <w:rPr>
          <w:rFonts w:ascii="Arial" w:hAnsi="Arial" w:cs="Arial"/>
          <w:b/>
          <w:bCs/>
          <w:i/>
          <w:iCs/>
          <w:sz w:val="20"/>
          <w:szCs w:val="20"/>
          <w:lang w:val="fr-FR"/>
        </w:rPr>
        <w:t xml:space="preserve">Catalogue des Lampes en terre cuite Grecques et </w:t>
      </w:r>
      <w:proofErr w:type="spellStart"/>
      <w:r w:rsidRPr="00EF1613">
        <w:rPr>
          <w:rFonts w:ascii="Arial" w:hAnsi="Arial" w:cs="Arial"/>
          <w:b/>
          <w:bCs/>
          <w:i/>
          <w:iCs/>
          <w:sz w:val="20"/>
          <w:szCs w:val="20"/>
          <w:lang w:val="fr-FR"/>
        </w:rPr>
        <w:t>Chretiennes</w:t>
      </w:r>
      <w:proofErr w:type="spellEnd"/>
      <w:r w:rsidRPr="00EF1613">
        <w:rPr>
          <w:rFonts w:ascii="Arial" w:hAnsi="Arial" w:cs="Arial"/>
          <w:b/>
          <w:bCs/>
          <w:sz w:val="20"/>
          <w:szCs w:val="20"/>
          <w:lang w:val="fr-FR"/>
        </w:rPr>
        <w:t>, Louvre, 1986.</w:t>
      </w:r>
      <w:r w:rsidRPr="00EF1613">
        <w:rPr>
          <w:lang w:val="fr-FR"/>
        </w:rPr>
        <w:br/>
      </w:r>
      <w:r>
        <w:rPr>
          <w:rFonts w:ascii="Arial" w:hAnsi="Arial" w:cs="Arial"/>
          <w:sz w:val="20"/>
          <w:szCs w:val="20"/>
        </w:rPr>
        <w:t>(ISBN 2711820149)</w:t>
      </w:r>
      <w:r>
        <w:rPr>
          <w:rFonts w:ascii="Arial" w:hAnsi="Arial" w:cs="Arial"/>
          <w:sz w:val="20"/>
          <w:szCs w:val="20"/>
        </w:rPr>
        <w:br/>
        <w:t xml:space="preserve">In French, good coverage of earlier and later lamps in the Louvre, </w:t>
      </w:r>
      <w:proofErr w:type="spellStart"/>
      <w:r>
        <w:rPr>
          <w:rFonts w:ascii="Arial" w:hAnsi="Arial" w:cs="Arial"/>
          <w:sz w:val="20"/>
          <w:szCs w:val="20"/>
        </w:rPr>
        <w:t>well illustrated</w:t>
      </w:r>
      <w:proofErr w:type="spellEnd"/>
      <w:r>
        <w:rPr>
          <w:rFonts w:ascii="Arial" w:hAnsi="Arial" w:cs="Arial"/>
          <w:sz w:val="20"/>
          <w:szCs w:val="20"/>
        </w:rPr>
        <w:t>.</w:t>
      </w:r>
    </w:p>
    <w:p w:rsidR="00DE7C5C" w:rsidRDefault="00DE7C5C" w:rsidP="00EF1613">
      <w:pPr>
        <w:rPr>
          <w:rFonts w:ascii="Arial" w:hAnsi="Arial" w:cs="Arial"/>
          <w:b/>
          <w:bCs/>
          <w:sz w:val="20"/>
          <w:szCs w:val="20"/>
        </w:rPr>
      </w:pPr>
    </w:p>
    <w:p w:rsidR="00DE7C5C" w:rsidRDefault="00DE7C5C" w:rsidP="00EF1613">
      <w:pPr>
        <w:rPr>
          <w:rFonts w:ascii="Arial" w:hAnsi="Arial" w:cs="Arial"/>
          <w:sz w:val="20"/>
          <w:szCs w:val="20"/>
        </w:rPr>
      </w:pPr>
      <w:r w:rsidRPr="00DE7C5C">
        <w:rPr>
          <w:rFonts w:ascii="Arial" w:hAnsi="Arial" w:cs="Arial"/>
          <w:b/>
          <w:bCs/>
          <w:sz w:val="20"/>
          <w:szCs w:val="20"/>
          <w:highlight w:val="yellow"/>
        </w:rPr>
        <w:t xml:space="preserve">Heinz </w:t>
      </w:r>
      <w:proofErr w:type="spellStart"/>
      <w:r w:rsidRPr="00DE7C5C">
        <w:rPr>
          <w:rFonts w:ascii="Arial" w:hAnsi="Arial" w:cs="Arial"/>
          <w:b/>
          <w:bCs/>
          <w:sz w:val="20"/>
          <w:szCs w:val="20"/>
          <w:highlight w:val="yellow"/>
        </w:rPr>
        <w:t>Menzel</w:t>
      </w:r>
      <w:proofErr w:type="spellEnd"/>
      <w:r w:rsidRPr="00DE7C5C">
        <w:rPr>
          <w:rFonts w:ascii="Arial" w:hAnsi="Arial" w:cs="Arial"/>
          <w:b/>
          <w:bCs/>
          <w:sz w:val="20"/>
          <w:szCs w:val="20"/>
          <w:highlight w:val="yellow"/>
        </w:rPr>
        <w:t xml:space="preserve">, </w:t>
      </w:r>
      <w:proofErr w:type="spellStart"/>
      <w:r w:rsidRPr="00DE7C5C">
        <w:rPr>
          <w:rFonts w:ascii="Arial" w:hAnsi="Arial" w:cs="Arial"/>
          <w:b/>
          <w:bCs/>
          <w:i/>
          <w:iCs/>
          <w:sz w:val="20"/>
          <w:szCs w:val="20"/>
          <w:highlight w:val="yellow"/>
        </w:rPr>
        <w:t>Antike</w:t>
      </w:r>
      <w:proofErr w:type="spellEnd"/>
      <w:r w:rsidRPr="00DE7C5C">
        <w:rPr>
          <w:rFonts w:ascii="Arial" w:hAnsi="Arial" w:cs="Arial"/>
          <w:b/>
          <w:bCs/>
          <w:i/>
          <w:iCs/>
          <w:sz w:val="20"/>
          <w:szCs w:val="20"/>
          <w:highlight w:val="yellow"/>
        </w:rPr>
        <w:t xml:space="preserve"> </w:t>
      </w:r>
      <w:proofErr w:type="spellStart"/>
      <w:r w:rsidRPr="00DE7C5C">
        <w:rPr>
          <w:rFonts w:ascii="Arial" w:hAnsi="Arial" w:cs="Arial"/>
          <w:b/>
          <w:bCs/>
          <w:i/>
          <w:iCs/>
          <w:sz w:val="20"/>
          <w:szCs w:val="20"/>
          <w:highlight w:val="yellow"/>
        </w:rPr>
        <w:t>Lampen</w:t>
      </w:r>
      <w:proofErr w:type="spellEnd"/>
      <w:r w:rsidRPr="00DE7C5C">
        <w:rPr>
          <w:rFonts w:ascii="Arial" w:hAnsi="Arial" w:cs="Arial"/>
          <w:b/>
          <w:bCs/>
          <w:i/>
          <w:iCs/>
          <w:sz w:val="20"/>
          <w:szCs w:val="20"/>
          <w:highlight w:val="yellow"/>
        </w:rPr>
        <w:t xml:space="preserve"> </w:t>
      </w:r>
      <w:proofErr w:type="spellStart"/>
      <w:r w:rsidRPr="00DE7C5C">
        <w:rPr>
          <w:rFonts w:ascii="Arial" w:hAnsi="Arial" w:cs="Arial"/>
          <w:b/>
          <w:bCs/>
          <w:i/>
          <w:iCs/>
          <w:sz w:val="20"/>
          <w:szCs w:val="20"/>
          <w:highlight w:val="yellow"/>
        </w:rPr>
        <w:t>im</w:t>
      </w:r>
      <w:proofErr w:type="spellEnd"/>
      <w:r w:rsidRPr="00DE7C5C">
        <w:rPr>
          <w:rFonts w:ascii="Arial" w:hAnsi="Arial" w:cs="Arial"/>
          <w:b/>
          <w:bCs/>
          <w:i/>
          <w:iCs/>
          <w:sz w:val="20"/>
          <w:szCs w:val="20"/>
          <w:highlight w:val="yellow"/>
        </w:rPr>
        <w:t xml:space="preserve"> </w:t>
      </w:r>
      <w:proofErr w:type="spellStart"/>
      <w:r w:rsidRPr="00DE7C5C">
        <w:rPr>
          <w:rFonts w:ascii="Arial" w:hAnsi="Arial" w:cs="Arial"/>
          <w:b/>
          <w:bCs/>
          <w:i/>
          <w:iCs/>
          <w:sz w:val="20"/>
          <w:szCs w:val="20"/>
          <w:highlight w:val="yellow"/>
        </w:rPr>
        <w:t>Römisch-Germanischen</w:t>
      </w:r>
      <w:proofErr w:type="spellEnd"/>
      <w:r w:rsidRPr="00DE7C5C">
        <w:rPr>
          <w:rFonts w:ascii="Arial" w:hAnsi="Arial" w:cs="Arial"/>
          <w:b/>
          <w:bCs/>
          <w:i/>
          <w:iCs/>
          <w:sz w:val="20"/>
          <w:szCs w:val="20"/>
          <w:highlight w:val="yellow"/>
        </w:rPr>
        <w:t xml:space="preserve"> </w:t>
      </w:r>
      <w:proofErr w:type="spellStart"/>
      <w:r w:rsidRPr="00DE7C5C">
        <w:rPr>
          <w:rFonts w:ascii="Arial" w:hAnsi="Arial" w:cs="Arial"/>
          <w:b/>
          <w:bCs/>
          <w:i/>
          <w:iCs/>
          <w:sz w:val="20"/>
          <w:szCs w:val="20"/>
          <w:highlight w:val="yellow"/>
        </w:rPr>
        <w:t>Zentralmuseum</w:t>
      </w:r>
      <w:proofErr w:type="spellEnd"/>
      <w:r w:rsidRPr="00DE7C5C">
        <w:rPr>
          <w:rFonts w:ascii="Arial" w:hAnsi="Arial" w:cs="Arial"/>
          <w:b/>
          <w:bCs/>
          <w:i/>
          <w:iCs/>
          <w:sz w:val="20"/>
          <w:szCs w:val="20"/>
          <w:highlight w:val="yellow"/>
        </w:rPr>
        <w:t xml:space="preserve"> </w:t>
      </w:r>
      <w:proofErr w:type="spellStart"/>
      <w:r w:rsidRPr="00DE7C5C">
        <w:rPr>
          <w:rFonts w:ascii="Arial" w:hAnsi="Arial" w:cs="Arial"/>
          <w:b/>
          <w:bCs/>
          <w:i/>
          <w:iCs/>
          <w:sz w:val="20"/>
          <w:szCs w:val="20"/>
          <w:highlight w:val="yellow"/>
        </w:rPr>
        <w:t>zu</w:t>
      </w:r>
      <w:proofErr w:type="spellEnd"/>
      <w:r w:rsidRPr="00DE7C5C">
        <w:rPr>
          <w:rFonts w:ascii="Arial" w:hAnsi="Arial" w:cs="Arial"/>
          <w:b/>
          <w:bCs/>
          <w:i/>
          <w:iCs/>
          <w:sz w:val="20"/>
          <w:szCs w:val="20"/>
          <w:highlight w:val="yellow"/>
        </w:rPr>
        <w:t xml:space="preserve"> Mainz</w:t>
      </w:r>
      <w:r w:rsidRPr="00DE7C5C">
        <w:rPr>
          <w:rFonts w:ascii="Arial" w:hAnsi="Arial" w:cs="Arial"/>
          <w:b/>
          <w:bCs/>
          <w:sz w:val="20"/>
          <w:szCs w:val="20"/>
          <w:highlight w:val="yellow"/>
        </w:rPr>
        <w:t>, Mainz, 1969 (enlarged</w:t>
      </w:r>
      <w:r>
        <w:rPr>
          <w:rFonts w:ascii="Arial" w:hAnsi="Arial" w:cs="Arial"/>
          <w:b/>
          <w:bCs/>
          <w:sz w:val="20"/>
          <w:szCs w:val="20"/>
        </w:rPr>
        <w:t xml:space="preserve"> reprint of 1954 edition).</w:t>
      </w:r>
      <w:r>
        <w:br/>
      </w:r>
      <w:r>
        <w:rPr>
          <w:rFonts w:ascii="Arial" w:hAnsi="Arial" w:cs="Arial"/>
          <w:sz w:val="20"/>
          <w:szCs w:val="20"/>
        </w:rPr>
        <w:t>(ISBN 380530174X)</w:t>
      </w:r>
      <w:r>
        <w:br/>
      </w:r>
      <w:r>
        <w:rPr>
          <w:rFonts w:ascii="Arial" w:hAnsi="Arial" w:cs="Arial"/>
          <w:sz w:val="20"/>
          <w:szCs w:val="20"/>
        </w:rPr>
        <w:t>In German, classic catalogue, profusely illustrated by line drawings (this edition adds fifty more lamps with photographs).</w:t>
      </w:r>
    </w:p>
    <w:p w:rsidR="00DE7C5C" w:rsidRDefault="00DE7C5C" w:rsidP="00EF1613">
      <w:pPr>
        <w:rPr>
          <w:rFonts w:ascii="Arial" w:hAnsi="Arial" w:cs="Arial"/>
          <w:sz w:val="20"/>
          <w:szCs w:val="2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10080"/>
      </w:tblGrid>
      <w:tr w:rsidR="00DE7C5C" w:rsidRPr="00DE7C5C" w:rsidTr="00DE7C5C">
        <w:trPr>
          <w:tblCellSpacing w:w="15" w:type="dxa"/>
        </w:trPr>
        <w:tc>
          <w:tcPr>
            <w:tcW w:w="0" w:type="auto"/>
            <w:vAlign w:val="center"/>
            <w:hideMark/>
          </w:tcPr>
          <w:p w:rsidR="00DE7C5C" w:rsidRPr="00DE7C5C" w:rsidRDefault="00DE7C5C" w:rsidP="00DE7C5C">
            <w:pPr>
              <w:rPr>
                <w:rFonts w:eastAsia="Times New Roman"/>
                <w:lang w:eastAsia="en-US"/>
              </w:rPr>
            </w:pPr>
            <w:r w:rsidRPr="00DE7C5C">
              <w:rPr>
                <w:rFonts w:eastAsia="Times New Roman"/>
                <w:lang w:eastAsia="en-US"/>
              </w:rPr>
              <w:t> </w:t>
            </w:r>
          </w:p>
        </w:tc>
      </w:tr>
      <w:tr w:rsidR="00DE7C5C" w:rsidRPr="00DE7C5C" w:rsidTr="00DE7C5C">
        <w:trPr>
          <w:tblCellSpacing w:w="15" w:type="dxa"/>
        </w:trPr>
        <w:tc>
          <w:tcPr>
            <w:tcW w:w="0" w:type="auto"/>
            <w:vAlign w:val="center"/>
            <w:hideMark/>
          </w:tcPr>
          <w:p w:rsidR="00DE7C5C" w:rsidRPr="00DE7C5C" w:rsidRDefault="00DE7C5C" w:rsidP="00DE7C5C">
            <w:pPr>
              <w:rPr>
                <w:rFonts w:eastAsia="Times New Roman"/>
                <w:lang w:eastAsia="en-US"/>
              </w:rPr>
            </w:pPr>
            <w:bookmarkStart w:id="1" w:name="Western"/>
            <w:bookmarkEnd w:id="1"/>
            <w:r w:rsidRPr="00DE7C5C">
              <w:rPr>
                <w:rFonts w:ascii="Arial" w:eastAsia="Times New Roman" w:hAnsi="Arial" w:cs="Arial"/>
                <w:b/>
                <w:bCs/>
                <w:color w:val="CC0000"/>
                <w:lang w:eastAsia="en-US"/>
              </w:rPr>
              <w:t>Western Europe:</w:t>
            </w:r>
            <w:r w:rsidRPr="00DE7C5C">
              <w:rPr>
                <w:rFonts w:ascii="Arial" w:eastAsia="Times New Roman" w:hAnsi="Arial" w:cs="Arial"/>
                <w:sz w:val="20"/>
                <w:szCs w:val="20"/>
                <w:lang w:eastAsia="en-US"/>
              </w:rPr>
              <w:br/>
            </w:r>
            <w:r w:rsidRPr="00DE7C5C">
              <w:rPr>
                <w:rFonts w:ascii="Arial" w:eastAsia="Times New Roman" w:hAnsi="Arial" w:cs="Arial"/>
                <w:sz w:val="20"/>
                <w:szCs w:val="20"/>
                <w:lang w:eastAsia="en-US"/>
              </w:rPr>
              <w:br/>
            </w:r>
            <w:r w:rsidRPr="00DE7C5C">
              <w:rPr>
                <w:rFonts w:ascii="Arial" w:eastAsia="Times New Roman" w:hAnsi="Arial" w:cs="Arial"/>
                <w:b/>
                <w:bCs/>
                <w:sz w:val="20"/>
                <w:szCs w:val="20"/>
                <w:lang w:eastAsia="en-US"/>
              </w:rPr>
              <w:t xml:space="preserve">Karin </w:t>
            </w:r>
            <w:proofErr w:type="spellStart"/>
            <w:r w:rsidRPr="00DE7C5C">
              <w:rPr>
                <w:rFonts w:ascii="Arial" w:eastAsia="Times New Roman" w:hAnsi="Arial" w:cs="Arial"/>
                <w:b/>
                <w:bCs/>
                <w:sz w:val="20"/>
                <w:szCs w:val="20"/>
                <w:lang w:eastAsia="en-US"/>
              </w:rPr>
              <w:t>Goethert</w:t>
            </w:r>
            <w:proofErr w:type="spellEnd"/>
            <w:r w:rsidRPr="00DE7C5C">
              <w:rPr>
                <w:rFonts w:ascii="Arial" w:eastAsia="Times New Roman" w:hAnsi="Arial" w:cs="Arial"/>
                <w:b/>
                <w:bCs/>
                <w:sz w:val="20"/>
                <w:szCs w:val="20"/>
                <w:lang w:eastAsia="en-US"/>
              </w:rPr>
              <w:t xml:space="preserve">, </w:t>
            </w:r>
            <w:proofErr w:type="spellStart"/>
            <w:r w:rsidRPr="00DE7C5C">
              <w:rPr>
                <w:rFonts w:ascii="Arial" w:eastAsia="Times New Roman" w:hAnsi="Arial" w:cs="Arial"/>
                <w:b/>
                <w:bCs/>
                <w:i/>
                <w:iCs/>
                <w:sz w:val="20"/>
                <w:szCs w:val="20"/>
                <w:lang w:eastAsia="en-US"/>
              </w:rPr>
              <w:t>Römische</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Lampen</w:t>
            </w:r>
            <w:proofErr w:type="spellEnd"/>
            <w:r w:rsidRPr="00DE7C5C">
              <w:rPr>
                <w:rFonts w:ascii="Arial" w:eastAsia="Times New Roman" w:hAnsi="Arial" w:cs="Arial"/>
                <w:b/>
                <w:bCs/>
                <w:i/>
                <w:iCs/>
                <w:sz w:val="20"/>
                <w:szCs w:val="20"/>
                <w:lang w:eastAsia="en-US"/>
              </w:rPr>
              <w:t xml:space="preserve"> und </w:t>
            </w:r>
            <w:proofErr w:type="spellStart"/>
            <w:r w:rsidRPr="00DE7C5C">
              <w:rPr>
                <w:rFonts w:ascii="Arial" w:eastAsia="Times New Roman" w:hAnsi="Arial" w:cs="Arial"/>
                <w:b/>
                <w:bCs/>
                <w:i/>
                <w:iCs/>
                <w:sz w:val="20"/>
                <w:szCs w:val="20"/>
                <w:lang w:eastAsia="en-US"/>
              </w:rPr>
              <w:t>Leuchter</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Auswahlkatalog</w:t>
            </w:r>
            <w:proofErr w:type="spellEnd"/>
            <w:r w:rsidRPr="00DE7C5C">
              <w:rPr>
                <w:rFonts w:ascii="Arial" w:eastAsia="Times New Roman" w:hAnsi="Arial" w:cs="Arial"/>
                <w:b/>
                <w:bCs/>
                <w:i/>
                <w:iCs/>
                <w:sz w:val="20"/>
                <w:szCs w:val="20"/>
                <w:lang w:eastAsia="en-US"/>
              </w:rPr>
              <w:t xml:space="preserve"> des </w:t>
            </w:r>
            <w:proofErr w:type="spellStart"/>
            <w:r w:rsidRPr="00DE7C5C">
              <w:rPr>
                <w:rFonts w:ascii="Arial" w:eastAsia="Times New Roman" w:hAnsi="Arial" w:cs="Arial"/>
                <w:b/>
                <w:bCs/>
                <w:i/>
                <w:iCs/>
                <w:sz w:val="20"/>
                <w:szCs w:val="20"/>
                <w:lang w:eastAsia="en-US"/>
              </w:rPr>
              <w:t>Rheinischen</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Landesmuseums</w:t>
            </w:r>
            <w:proofErr w:type="spellEnd"/>
            <w:r w:rsidRPr="00DE7C5C">
              <w:rPr>
                <w:rFonts w:ascii="Arial" w:eastAsia="Times New Roman" w:hAnsi="Arial" w:cs="Arial"/>
                <w:b/>
                <w:bCs/>
                <w:i/>
                <w:iCs/>
                <w:sz w:val="20"/>
                <w:szCs w:val="20"/>
                <w:lang w:eastAsia="en-US"/>
              </w:rPr>
              <w:t xml:space="preserve"> Trier</w:t>
            </w:r>
            <w:r w:rsidRPr="00DE7C5C">
              <w:rPr>
                <w:rFonts w:ascii="Arial" w:eastAsia="Times New Roman" w:hAnsi="Arial" w:cs="Arial"/>
                <w:b/>
                <w:bCs/>
                <w:sz w:val="20"/>
                <w:szCs w:val="20"/>
                <w:lang w:eastAsia="en-US"/>
              </w:rPr>
              <w:t>, Trier, 1997.</w:t>
            </w:r>
            <w:r w:rsidRPr="00DE7C5C">
              <w:rPr>
                <w:rFonts w:eastAsia="Times New Roman"/>
                <w:lang w:eastAsia="en-US"/>
              </w:rPr>
              <w:br/>
            </w:r>
            <w:r w:rsidRPr="00DE7C5C">
              <w:rPr>
                <w:rFonts w:ascii="Arial" w:eastAsia="Times New Roman" w:hAnsi="Arial" w:cs="Arial"/>
                <w:sz w:val="20"/>
                <w:szCs w:val="20"/>
                <w:lang w:eastAsia="en-US"/>
              </w:rPr>
              <w:t>(ISBN 392331938X)</w:t>
            </w:r>
            <w:r w:rsidRPr="00DE7C5C">
              <w:rPr>
                <w:rFonts w:eastAsia="Times New Roman"/>
                <w:lang w:eastAsia="en-US"/>
              </w:rPr>
              <w:br/>
            </w:r>
            <w:r w:rsidRPr="00DE7C5C">
              <w:rPr>
                <w:rFonts w:ascii="Arial" w:eastAsia="Times New Roman" w:hAnsi="Arial" w:cs="Arial"/>
                <w:sz w:val="20"/>
                <w:szCs w:val="20"/>
                <w:lang w:eastAsia="en-US"/>
              </w:rPr>
              <w:t>In German, emphasis on local lamps found in Trier but excellent coverage of all Roman types of the Rhineland.</w:t>
            </w:r>
            <w:r w:rsidRPr="00DE7C5C">
              <w:rPr>
                <w:rFonts w:ascii="Arial" w:eastAsia="Times New Roman" w:hAnsi="Arial" w:cs="Arial"/>
                <w:sz w:val="20"/>
                <w:szCs w:val="20"/>
                <w:lang w:eastAsia="en-US"/>
              </w:rPr>
              <w:br/>
            </w:r>
            <w:r w:rsidRPr="00DE7C5C">
              <w:rPr>
                <w:rFonts w:ascii="Arial" w:eastAsia="Times New Roman" w:hAnsi="Arial" w:cs="Arial"/>
                <w:sz w:val="20"/>
                <w:szCs w:val="20"/>
                <w:lang w:eastAsia="en-US"/>
              </w:rPr>
              <w:br/>
            </w:r>
            <w:proofErr w:type="spellStart"/>
            <w:r w:rsidRPr="00DE7C5C">
              <w:rPr>
                <w:rFonts w:ascii="Arial" w:eastAsia="Times New Roman" w:hAnsi="Arial" w:cs="Arial"/>
                <w:b/>
                <w:bCs/>
                <w:sz w:val="20"/>
                <w:szCs w:val="20"/>
                <w:lang w:eastAsia="en-US"/>
              </w:rPr>
              <w:t>Hella</w:t>
            </w:r>
            <w:proofErr w:type="spellEnd"/>
            <w:r w:rsidRPr="00DE7C5C">
              <w:rPr>
                <w:rFonts w:ascii="Arial" w:eastAsia="Times New Roman" w:hAnsi="Arial" w:cs="Arial"/>
                <w:b/>
                <w:bCs/>
                <w:sz w:val="20"/>
                <w:szCs w:val="20"/>
                <w:lang w:eastAsia="en-US"/>
              </w:rPr>
              <w:t xml:space="preserve"> </w:t>
            </w:r>
            <w:proofErr w:type="spellStart"/>
            <w:r w:rsidRPr="00DE7C5C">
              <w:rPr>
                <w:rFonts w:ascii="Arial" w:eastAsia="Times New Roman" w:hAnsi="Arial" w:cs="Arial"/>
                <w:b/>
                <w:bCs/>
                <w:sz w:val="20"/>
                <w:szCs w:val="20"/>
                <w:lang w:eastAsia="en-US"/>
              </w:rPr>
              <w:t>Eckardt</w:t>
            </w:r>
            <w:proofErr w:type="spellEnd"/>
            <w:r w:rsidRPr="00DE7C5C">
              <w:rPr>
                <w:rFonts w:ascii="Arial" w:eastAsia="Times New Roman" w:hAnsi="Arial" w:cs="Arial"/>
                <w:b/>
                <w:bCs/>
                <w:sz w:val="20"/>
                <w:szCs w:val="20"/>
                <w:lang w:eastAsia="en-US"/>
              </w:rPr>
              <w:t xml:space="preserve">, </w:t>
            </w:r>
            <w:r w:rsidRPr="00DE7C5C">
              <w:rPr>
                <w:rFonts w:ascii="Arial" w:eastAsia="Times New Roman" w:hAnsi="Arial" w:cs="Arial"/>
                <w:b/>
                <w:bCs/>
                <w:i/>
                <w:iCs/>
                <w:sz w:val="20"/>
                <w:szCs w:val="20"/>
                <w:lang w:eastAsia="en-US"/>
              </w:rPr>
              <w:t>Illuminating Roman Britain</w:t>
            </w:r>
            <w:r w:rsidRPr="00DE7C5C">
              <w:rPr>
                <w:rFonts w:ascii="Arial" w:eastAsia="Times New Roman" w:hAnsi="Arial" w:cs="Arial"/>
                <w:b/>
                <w:bCs/>
                <w:sz w:val="20"/>
                <w:szCs w:val="20"/>
                <w:lang w:eastAsia="en-US"/>
              </w:rPr>
              <w:t xml:space="preserve">, Editions Monique </w:t>
            </w:r>
            <w:proofErr w:type="spellStart"/>
            <w:r w:rsidRPr="00DE7C5C">
              <w:rPr>
                <w:rFonts w:ascii="Arial" w:eastAsia="Times New Roman" w:hAnsi="Arial" w:cs="Arial"/>
                <w:b/>
                <w:bCs/>
                <w:sz w:val="20"/>
                <w:szCs w:val="20"/>
                <w:lang w:eastAsia="en-US"/>
              </w:rPr>
              <w:t>Mergoil</w:t>
            </w:r>
            <w:proofErr w:type="spellEnd"/>
            <w:r w:rsidRPr="00DE7C5C">
              <w:rPr>
                <w:rFonts w:ascii="Arial" w:eastAsia="Times New Roman" w:hAnsi="Arial" w:cs="Arial"/>
                <w:b/>
                <w:bCs/>
                <w:sz w:val="20"/>
                <w:szCs w:val="20"/>
                <w:lang w:eastAsia="en-US"/>
              </w:rPr>
              <w:t xml:space="preserve">, </w:t>
            </w:r>
            <w:proofErr w:type="spellStart"/>
            <w:r w:rsidRPr="00DE7C5C">
              <w:rPr>
                <w:rFonts w:ascii="Arial" w:eastAsia="Times New Roman" w:hAnsi="Arial" w:cs="Arial"/>
                <w:b/>
                <w:bCs/>
                <w:sz w:val="20"/>
                <w:szCs w:val="20"/>
                <w:lang w:eastAsia="en-US"/>
              </w:rPr>
              <w:t>Montagnac</w:t>
            </w:r>
            <w:proofErr w:type="spellEnd"/>
            <w:r w:rsidRPr="00DE7C5C">
              <w:rPr>
                <w:rFonts w:ascii="Arial" w:eastAsia="Times New Roman" w:hAnsi="Arial" w:cs="Arial"/>
                <w:b/>
                <w:bCs/>
                <w:sz w:val="20"/>
                <w:szCs w:val="20"/>
                <w:lang w:eastAsia="en-US"/>
              </w:rPr>
              <w:t>, 2002.</w:t>
            </w:r>
            <w:r w:rsidRPr="00DE7C5C">
              <w:rPr>
                <w:rFonts w:ascii="Arial" w:eastAsia="Times New Roman" w:hAnsi="Arial" w:cs="Arial"/>
                <w:sz w:val="20"/>
                <w:szCs w:val="20"/>
                <w:lang w:eastAsia="en-US"/>
              </w:rPr>
              <w:br/>
              <w:t>(ISBN 2907303708)</w:t>
            </w:r>
            <w:r w:rsidRPr="00DE7C5C">
              <w:rPr>
                <w:rFonts w:eastAsia="Times New Roman"/>
                <w:lang w:eastAsia="en-US"/>
              </w:rPr>
              <w:br/>
            </w:r>
            <w:r w:rsidRPr="00DE7C5C">
              <w:rPr>
                <w:rFonts w:ascii="Arial" w:eastAsia="Times New Roman" w:hAnsi="Arial" w:cs="Arial"/>
                <w:sz w:val="20"/>
                <w:szCs w:val="20"/>
                <w:lang w:eastAsia="en-US"/>
              </w:rPr>
              <w:t>Softback, frustratingly unindexed but a refreshing approach and well worth ploughing through.</w:t>
            </w:r>
            <w:r w:rsidRPr="00DE7C5C">
              <w:rPr>
                <w:rFonts w:ascii="Arial" w:eastAsia="Times New Roman" w:hAnsi="Arial" w:cs="Arial"/>
                <w:sz w:val="20"/>
                <w:szCs w:val="20"/>
                <w:lang w:eastAsia="en-US"/>
              </w:rPr>
              <w:br/>
            </w:r>
            <w:r w:rsidRPr="00DE7C5C">
              <w:rPr>
                <w:rFonts w:ascii="Arial" w:eastAsia="Times New Roman" w:hAnsi="Arial" w:cs="Arial"/>
                <w:sz w:val="20"/>
                <w:szCs w:val="20"/>
                <w:lang w:eastAsia="en-US"/>
              </w:rPr>
              <w:br/>
            </w:r>
            <w:r w:rsidRPr="00DE7C5C">
              <w:rPr>
                <w:rFonts w:ascii="Arial" w:eastAsia="Times New Roman" w:hAnsi="Arial" w:cs="Arial"/>
                <w:b/>
                <w:bCs/>
                <w:sz w:val="20"/>
                <w:szCs w:val="20"/>
                <w:lang w:eastAsia="en-US"/>
              </w:rPr>
              <w:t xml:space="preserve">Siegfried </w:t>
            </w:r>
            <w:proofErr w:type="spellStart"/>
            <w:r w:rsidRPr="00DE7C5C">
              <w:rPr>
                <w:rFonts w:ascii="Arial" w:eastAsia="Times New Roman" w:hAnsi="Arial" w:cs="Arial"/>
                <w:b/>
                <w:bCs/>
                <w:sz w:val="20"/>
                <w:szCs w:val="20"/>
                <w:lang w:eastAsia="en-US"/>
              </w:rPr>
              <w:t>Loeschcke</w:t>
            </w:r>
            <w:proofErr w:type="spellEnd"/>
            <w:r w:rsidRPr="00DE7C5C">
              <w:rPr>
                <w:rFonts w:ascii="Arial" w:eastAsia="Times New Roman" w:hAnsi="Arial" w:cs="Arial"/>
                <w:b/>
                <w:bCs/>
                <w:sz w:val="20"/>
                <w:szCs w:val="20"/>
                <w:lang w:eastAsia="en-US"/>
              </w:rPr>
              <w:t xml:space="preserve">, </w:t>
            </w:r>
            <w:proofErr w:type="spellStart"/>
            <w:r w:rsidRPr="00DE7C5C">
              <w:rPr>
                <w:rFonts w:ascii="Arial" w:eastAsia="Times New Roman" w:hAnsi="Arial" w:cs="Arial"/>
                <w:b/>
                <w:bCs/>
                <w:i/>
                <w:iCs/>
                <w:sz w:val="20"/>
                <w:szCs w:val="20"/>
                <w:lang w:eastAsia="en-US"/>
              </w:rPr>
              <w:t>Lampen</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aus</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Vindonissa</w:t>
            </w:r>
            <w:proofErr w:type="spellEnd"/>
            <w:r w:rsidRPr="00DE7C5C">
              <w:rPr>
                <w:rFonts w:ascii="Arial" w:eastAsia="Times New Roman" w:hAnsi="Arial" w:cs="Arial"/>
                <w:b/>
                <w:bCs/>
                <w:sz w:val="20"/>
                <w:szCs w:val="20"/>
                <w:lang w:eastAsia="en-US"/>
              </w:rPr>
              <w:t>, Zurich, 1919.</w:t>
            </w:r>
            <w:r w:rsidRPr="00DE7C5C">
              <w:rPr>
                <w:rFonts w:eastAsia="Times New Roman"/>
                <w:lang w:eastAsia="en-US"/>
              </w:rPr>
              <w:br/>
            </w:r>
            <w:r w:rsidRPr="00DE7C5C">
              <w:rPr>
                <w:rFonts w:ascii="Arial" w:eastAsia="Times New Roman" w:hAnsi="Arial" w:cs="Arial"/>
                <w:sz w:val="20"/>
                <w:szCs w:val="20"/>
                <w:lang w:eastAsia="en-US"/>
              </w:rPr>
              <w:t>In German, long out-of-print classic but a superb reference if you can find a copy.</w:t>
            </w:r>
            <w:r w:rsidRPr="00DE7C5C">
              <w:rPr>
                <w:rFonts w:ascii="Arial" w:eastAsia="Times New Roman" w:hAnsi="Arial" w:cs="Arial"/>
                <w:sz w:val="20"/>
                <w:szCs w:val="20"/>
                <w:lang w:eastAsia="en-US"/>
              </w:rPr>
              <w:br/>
            </w:r>
            <w:r w:rsidRPr="00DE7C5C">
              <w:rPr>
                <w:rFonts w:ascii="Arial" w:eastAsia="Times New Roman" w:hAnsi="Arial" w:cs="Arial"/>
                <w:sz w:val="20"/>
                <w:szCs w:val="20"/>
                <w:lang w:eastAsia="en-US"/>
              </w:rPr>
              <w:br/>
            </w:r>
            <w:r w:rsidRPr="00DE7C5C">
              <w:rPr>
                <w:rFonts w:ascii="Arial" w:eastAsia="Times New Roman" w:hAnsi="Arial" w:cs="Arial"/>
                <w:b/>
                <w:bCs/>
                <w:sz w:val="20"/>
                <w:szCs w:val="20"/>
                <w:lang w:eastAsia="en-US"/>
              </w:rPr>
              <w:t xml:space="preserve">Annette Kirsch, </w:t>
            </w:r>
            <w:proofErr w:type="spellStart"/>
            <w:r w:rsidRPr="00DE7C5C">
              <w:rPr>
                <w:rFonts w:ascii="Arial" w:eastAsia="Times New Roman" w:hAnsi="Arial" w:cs="Arial"/>
                <w:b/>
                <w:bCs/>
                <w:i/>
                <w:iCs/>
                <w:sz w:val="20"/>
                <w:szCs w:val="20"/>
                <w:lang w:eastAsia="en-US"/>
              </w:rPr>
              <w:t>Antike</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Lampen</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im</w:t>
            </w:r>
            <w:proofErr w:type="spellEnd"/>
            <w:r w:rsidRPr="00DE7C5C">
              <w:rPr>
                <w:rFonts w:ascii="Arial" w:eastAsia="Times New Roman" w:hAnsi="Arial" w:cs="Arial"/>
                <w:b/>
                <w:bCs/>
                <w:i/>
                <w:iCs/>
                <w:sz w:val="20"/>
                <w:szCs w:val="20"/>
                <w:lang w:eastAsia="en-US"/>
              </w:rPr>
              <w:t xml:space="preserve"> </w:t>
            </w:r>
            <w:proofErr w:type="spellStart"/>
            <w:r w:rsidRPr="00DE7C5C">
              <w:rPr>
                <w:rFonts w:ascii="Arial" w:eastAsia="Times New Roman" w:hAnsi="Arial" w:cs="Arial"/>
                <w:b/>
                <w:bCs/>
                <w:i/>
                <w:iCs/>
                <w:sz w:val="20"/>
                <w:szCs w:val="20"/>
                <w:lang w:eastAsia="en-US"/>
              </w:rPr>
              <w:t>Landesmuseum</w:t>
            </w:r>
            <w:proofErr w:type="spellEnd"/>
            <w:r w:rsidRPr="00DE7C5C">
              <w:rPr>
                <w:rFonts w:ascii="Arial" w:eastAsia="Times New Roman" w:hAnsi="Arial" w:cs="Arial"/>
                <w:b/>
                <w:bCs/>
                <w:i/>
                <w:iCs/>
                <w:sz w:val="20"/>
                <w:szCs w:val="20"/>
                <w:lang w:eastAsia="en-US"/>
              </w:rPr>
              <w:t xml:space="preserve"> Mainz</w:t>
            </w:r>
            <w:r w:rsidRPr="00DE7C5C">
              <w:rPr>
                <w:rFonts w:ascii="Arial" w:eastAsia="Times New Roman" w:hAnsi="Arial" w:cs="Arial"/>
                <w:b/>
                <w:bCs/>
                <w:sz w:val="20"/>
                <w:szCs w:val="20"/>
                <w:lang w:eastAsia="en-US"/>
              </w:rPr>
              <w:t>, Mainz, 2002.</w:t>
            </w:r>
            <w:r w:rsidRPr="00DE7C5C">
              <w:rPr>
                <w:rFonts w:eastAsia="Times New Roman"/>
                <w:lang w:eastAsia="en-US"/>
              </w:rPr>
              <w:br/>
            </w:r>
            <w:r w:rsidRPr="00DE7C5C">
              <w:rPr>
                <w:rFonts w:ascii="Arial" w:eastAsia="Times New Roman" w:hAnsi="Arial" w:cs="Arial"/>
                <w:sz w:val="20"/>
                <w:szCs w:val="20"/>
                <w:lang w:eastAsia="en-US"/>
              </w:rPr>
              <w:t>(ISBN 3805328648)</w:t>
            </w:r>
            <w:r w:rsidRPr="00DE7C5C">
              <w:rPr>
                <w:rFonts w:eastAsia="Times New Roman"/>
                <w:lang w:eastAsia="en-US"/>
              </w:rPr>
              <w:br/>
            </w:r>
            <w:r w:rsidRPr="00DE7C5C">
              <w:rPr>
                <w:rFonts w:ascii="Arial" w:eastAsia="Times New Roman" w:hAnsi="Arial" w:cs="Arial"/>
                <w:sz w:val="20"/>
                <w:szCs w:val="20"/>
                <w:lang w:eastAsia="en-US"/>
              </w:rPr>
              <w:t>In German, catalogue of lamps.</w:t>
            </w:r>
            <w:r w:rsidRPr="00DE7C5C">
              <w:rPr>
                <w:rFonts w:ascii="Arial" w:eastAsia="Times New Roman" w:hAnsi="Arial" w:cs="Arial"/>
                <w:sz w:val="20"/>
                <w:szCs w:val="20"/>
                <w:lang w:eastAsia="en-US"/>
              </w:rPr>
              <w:br/>
            </w:r>
            <w:r w:rsidRPr="00DE7C5C">
              <w:rPr>
                <w:rFonts w:ascii="Arial" w:eastAsia="Times New Roman" w:hAnsi="Arial" w:cs="Arial"/>
                <w:sz w:val="20"/>
                <w:szCs w:val="20"/>
                <w:lang w:eastAsia="en-US"/>
              </w:rPr>
              <w:br/>
            </w:r>
            <w:r w:rsidRPr="00DE7C5C">
              <w:rPr>
                <w:rFonts w:ascii="Arial" w:eastAsia="Times New Roman" w:hAnsi="Arial" w:cs="Arial"/>
                <w:b/>
                <w:bCs/>
                <w:sz w:val="20"/>
                <w:szCs w:val="20"/>
                <w:lang w:val="fr-FR" w:eastAsia="en-US"/>
              </w:rPr>
              <w:t xml:space="preserve">Laurent </w:t>
            </w:r>
            <w:proofErr w:type="spellStart"/>
            <w:r w:rsidRPr="00DE7C5C">
              <w:rPr>
                <w:rFonts w:ascii="Arial" w:eastAsia="Times New Roman" w:hAnsi="Arial" w:cs="Arial"/>
                <w:b/>
                <w:bCs/>
                <w:sz w:val="20"/>
                <w:szCs w:val="20"/>
                <w:lang w:val="fr-FR" w:eastAsia="en-US"/>
              </w:rPr>
              <w:t>Chrzanovski</w:t>
            </w:r>
            <w:proofErr w:type="spellEnd"/>
            <w:r w:rsidRPr="00DE7C5C">
              <w:rPr>
                <w:rFonts w:ascii="Arial" w:eastAsia="Times New Roman" w:hAnsi="Arial" w:cs="Arial"/>
                <w:b/>
                <w:bCs/>
                <w:sz w:val="20"/>
                <w:szCs w:val="20"/>
                <w:lang w:val="fr-FR" w:eastAsia="en-US"/>
              </w:rPr>
              <w:t xml:space="preserve">, </w:t>
            </w:r>
            <w:proofErr w:type="spellStart"/>
            <w:r w:rsidRPr="00DE7C5C">
              <w:rPr>
                <w:rFonts w:ascii="Arial" w:eastAsia="Times New Roman" w:hAnsi="Arial" w:cs="Arial"/>
                <w:b/>
                <w:bCs/>
                <w:i/>
                <w:iCs/>
                <w:sz w:val="20"/>
                <w:szCs w:val="20"/>
                <w:lang w:val="fr-FR" w:eastAsia="en-US"/>
              </w:rPr>
              <w:t>Lumieres</w:t>
            </w:r>
            <w:proofErr w:type="spellEnd"/>
            <w:r w:rsidRPr="00DE7C5C">
              <w:rPr>
                <w:rFonts w:ascii="Arial" w:eastAsia="Times New Roman" w:hAnsi="Arial" w:cs="Arial"/>
                <w:b/>
                <w:bCs/>
                <w:i/>
                <w:iCs/>
                <w:sz w:val="20"/>
                <w:szCs w:val="20"/>
                <w:lang w:val="fr-FR" w:eastAsia="en-US"/>
              </w:rPr>
              <w:t xml:space="preserve"> Antiques: Les lampes à huile du musée romain de Nyon</w:t>
            </w:r>
            <w:r w:rsidRPr="00DE7C5C">
              <w:rPr>
                <w:rFonts w:ascii="Arial" w:eastAsia="Times New Roman" w:hAnsi="Arial" w:cs="Arial"/>
                <w:b/>
                <w:bCs/>
                <w:sz w:val="20"/>
                <w:szCs w:val="20"/>
                <w:lang w:val="fr-FR" w:eastAsia="en-US"/>
              </w:rPr>
              <w:t xml:space="preserve">, </w:t>
            </w:r>
            <w:proofErr w:type="spellStart"/>
            <w:r w:rsidRPr="00DE7C5C">
              <w:rPr>
                <w:rFonts w:ascii="Arial" w:eastAsia="Times New Roman" w:hAnsi="Arial" w:cs="Arial"/>
                <w:b/>
                <w:bCs/>
                <w:sz w:val="20"/>
                <w:szCs w:val="20"/>
                <w:lang w:val="fr-FR" w:eastAsia="en-US"/>
              </w:rPr>
              <w:t>Edizioni</w:t>
            </w:r>
            <w:proofErr w:type="spellEnd"/>
            <w:r w:rsidRPr="00DE7C5C">
              <w:rPr>
                <w:rFonts w:ascii="Arial" w:eastAsia="Times New Roman" w:hAnsi="Arial" w:cs="Arial"/>
                <w:b/>
                <w:bCs/>
                <w:sz w:val="20"/>
                <w:szCs w:val="20"/>
                <w:lang w:val="fr-FR" w:eastAsia="en-US"/>
              </w:rPr>
              <w:t xml:space="preserve"> ET, 2000.</w:t>
            </w:r>
            <w:r w:rsidRPr="00DE7C5C">
              <w:rPr>
                <w:rFonts w:ascii="Arial" w:eastAsia="Times New Roman" w:hAnsi="Arial" w:cs="Arial"/>
                <w:sz w:val="20"/>
                <w:szCs w:val="20"/>
                <w:lang w:val="fr-FR" w:eastAsia="en-US"/>
              </w:rPr>
              <w:br/>
            </w:r>
            <w:r w:rsidRPr="00DE7C5C">
              <w:rPr>
                <w:rFonts w:ascii="Arial" w:eastAsia="Times New Roman" w:hAnsi="Arial" w:cs="Arial"/>
                <w:sz w:val="20"/>
                <w:szCs w:val="20"/>
                <w:lang w:eastAsia="en-US"/>
              </w:rPr>
              <w:t>(ISBN 8886752156)</w:t>
            </w:r>
            <w:r w:rsidRPr="00DE7C5C">
              <w:rPr>
                <w:rFonts w:eastAsia="Times New Roman"/>
                <w:lang w:eastAsia="en-US"/>
              </w:rPr>
              <w:br/>
            </w:r>
            <w:r w:rsidRPr="00DE7C5C">
              <w:rPr>
                <w:rFonts w:ascii="Arial" w:eastAsia="Times New Roman" w:hAnsi="Arial" w:cs="Arial"/>
                <w:sz w:val="20"/>
                <w:szCs w:val="20"/>
                <w:lang w:eastAsia="en-US"/>
              </w:rPr>
              <w:t xml:space="preserve">Softback. In French with short summaries in English, Italian and German. Excellent general survey of lamps, detailed catalogue of the small collection of Roman oil lamps at </w:t>
            </w:r>
            <w:proofErr w:type="spellStart"/>
            <w:r w:rsidRPr="00DE7C5C">
              <w:rPr>
                <w:rFonts w:ascii="Arial" w:eastAsia="Times New Roman" w:hAnsi="Arial" w:cs="Arial"/>
                <w:sz w:val="20"/>
                <w:szCs w:val="20"/>
                <w:lang w:eastAsia="en-US"/>
              </w:rPr>
              <w:t>Nyon</w:t>
            </w:r>
            <w:proofErr w:type="spellEnd"/>
            <w:r w:rsidRPr="00DE7C5C">
              <w:rPr>
                <w:rFonts w:ascii="Arial" w:eastAsia="Times New Roman" w:hAnsi="Arial" w:cs="Arial"/>
                <w:sz w:val="20"/>
                <w:szCs w:val="20"/>
                <w:lang w:eastAsia="en-US"/>
              </w:rPr>
              <w:t>.</w:t>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220980" cy="137160"/>
                  <wp:effectExtent l="0" t="0" r="7620" b="0"/>
                  <wp:docPr id="4" name="Picture 4"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t> </w:t>
            </w:r>
          </w:p>
        </w:tc>
      </w:tr>
      <w:tr w:rsidR="00DE7C5C" w:rsidRPr="00DE7C5C" w:rsidTr="00DE7C5C">
        <w:trPr>
          <w:tblCellSpacing w:w="15" w:type="dxa"/>
        </w:trPr>
        <w:tc>
          <w:tcPr>
            <w:tcW w:w="0" w:type="auto"/>
            <w:vAlign w:val="center"/>
            <w:hideMark/>
          </w:tcPr>
          <w:p w:rsidR="00DE7C5C" w:rsidRPr="00DE7C5C" w:rsidRDefault="00DE7C5C" w:rsidP="00DE7C5C">
            <w:bookmarkStart w:id="2" w:name="Balkans"/>
            <w:bookmarkEnd w:id="2"/>
            <w:r w:rsidRPr="00DE7C5C">
              <w:t>Balkans:</w:t>
            </w:r>
            <w:r w:rsidRPr="00DE7C5C">
              <w:br/>
            </w:r>
            <w:r w:rsidRPr="00DE7C5C">
              <w:br/>
              <w:t xml:space="preserve">T. </w:t>
            </w:r>
            <w:proofErr w:type="spellStart"/>
            <w:r w:rsidRPr="00DE7C5C">
              <w:t>Szentléleky</w:t>
            </w:r>
            <w:proofErr w:type="spellEnd"/>
            <w:r w:rsidRPr="00DE7C5C">
              <w:t>, Ancient Lamps, Amsterdam, 1969.</w:t>
            </w:r>
            <w:r w:rsidRPr="00DE7C5C">
              <w:br/>
              <w:t>General collection with emphasis on lamps from the region of Hungary.</w:t>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220980" cy="137160"/>
                  <wp:effectExtent l="0" t="0" r="7620" b="0"/>
                  <wp:docPr id="13" name="Picture 13"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7048500" cy="7620"/>
                  <wp:effectExtent l="0" t="0" r="0" b="0"/>
                  <wp:docPr id="12" name="Picture 12" descr="http://www.romulus2.com/lamps/images_shared/maroon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omulus2.com/lamps/images_shared/maroon_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762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t> </w:t>
            </w:r>
          </w:p>
        </w:tc>
      </w:tr>
      <w:tr w:rsidR="00DE7C5C" w:rsidRPr="00DE7C5C" w:rsidTr="00DE7C5C">
        <w:trPr>
          <w:tblCellSpacing w:w="15" w:type="dxa"/>
        </w:trPr>
        <w:tc>
          <w:tcPr>
            <w:tcW w:w="0" w:type="auto"/>
            <w:vAlign w:val="center"/>
            <w:hideMark/>
          </w:tcPr>
          <w:p w:rsidR="00DE7C5C" w:rsidRPr="00DE7C5C" w:rsidRDefault="00DE7C5C" w:rsidP="00DE7C5C">
            <w:bookmarkStart w:id="3" w:name="Aegean"/>
            <w:bookmarkEnd w:id="3"/>
            <w:r w:rsidRPr="00DE7C5C">
              <w:lastRenderedPageBreak/>
              <w:t>Aegean:</w:t>
            </w:r>
            <w:r w:rsidRPr="00DE7C5C">
              <w:br/>
            </w:r>
            <w:r w:rsidRPr="00DE7C5C">
              <w:br/>
              <w:t>R.H. Howland, The Athenian Agora, Volume IV: Greek Lamps and their Survivals, American School at Athens, 1958.</w:t>
            </w:r>
            <w:r w:rsidRPr="00DE7C5C">
              <w:br/>
              <w:t>Classic study of lamps excavated at Athens.</w:t>
            </w:r>
            <w:r w:rsidRPr="00DE7C5C">
              <w:br/>
            </w:r>
            <w:r w:rsidRPr="00DE7C5C">
              <w:br/>
              <w:t xml:space="preserve">Oscar </w:t>
            </w:r>
            <w:proofErr w:type="spellStart"/>
            <w:r w:rsidRPr="00DE7C5C">
              <w:t>Broneer</w:t>
            </w:r>
            <w:proofErr w:type="spellEnd"/>
            <w:r w:rsidRPr="00DE7C5C">
              <w:t>, Corinth, Volume IV, Part II: Terracotta Lamps, American School at Athens, 1930.</w:t>
            </w:r>
            <w:r w:rsidRPr="00DE7C5C">
              <w:br/>
              <w:t>Catalogue of lamps excavated at Corinth.</w:t>
            </w:r>
            <w:r w:rsidRPr="00DE7C5C">
              <w:br/>
            </w:r>
            <w:r w:rsidRPr="00DE7C5C">
              <w:br/>
              <w:t xml:space="preserve">Oscar </w:t>
            </w:r>
            <w:proofErr w:type="spellStart"/>
            <w:r w:rsidRPr="00DE7C5C">
              <w:t>Broneer</w:t>
            </w:r>
            <w:proofErr w:type="spellEnd"/>
            <w:r w:rsidRPr="00DE7C5C">
              <w:t xml:space="preserve">, </w:t>
            </w:r>
            <w:proofErr w:type="spellStart"/>
            <w:r w:rsidRPr="00DE7C5C">
              <w:t>Isthmia</w:t>
            </w:r>
            <w:proofErr w:type="spellEnd"/>
            <w:r w:rsidRPr="00DE7C5C">
              <w:t>, Volume III: Terracotta Lamps, American School at Athens, 1977.</w:t>
            </w:r>
            <w:r w:rsidRPr="00DE7C5C">
              <w:br/>
              <w:t>Good coverage of local lamps.</w:t>
            </w:r>
            <w:r w:rsidRPr="00DE7C5C">
              <w:br/>
            </w:r>
            <w:r w:rsidRPr="00DE7C5C">
              <w:br/>
              <w:t xml:space="preserve">(booklet) Judith </w:t>
            </w:r>
            <w:proofErr w:type="spellStart"/>
            <w:r w:rsidRPr="00DE7C5C">
              <w:t>Perlzweig</w:t>
            </w:r>
            <w:proofErr w:type="spellEnd"/>
            <w:r w:rsidRPr="00DE7C5C">
              <w:t>, Lamps from the Athenian Agora, American School at Athens, 1963.</w:t>
            </w:r>
            <w:r w:rsidRPr="00DE7C5C">
              <w:br/>
              <w:t>Excellent booklet, profusely illustrated and a recommended reference, very cheap used copies.</w:t>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220980" cy="137160"/>
                  <wp:effectExtent l="0" t="0" r="7620" b="0"/>
                  <wp:docPr id="11" name="Picture 11"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7048500" cy="7620"/>
                  <wp:effectExtent l="0" t="0" r="0" b="0"/>
                  <wp:docPr id="10" name="Picture 10" descr="http://www.romulus2.com/lamps/images_shared/maroon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omulus2.com/lamps/images_shared/maroon_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762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t> </w:t>
            </w:r>
          </w:p>
        </w:tc>
      </w:tr>
      <w:tr w:rsidR="00DE7C5C" w:rsidRPr="00DE7C5C" w:rsidTr="00DE7C5C">
        <w:trPr>
          <w:tblCellSpacing w:w="15" w:type="dxa"/>
        </w:trPr>
        <w:tc>
          <w:tcPr>
            <w:tcW w:w="0" w:type="auto"/>
            <w:vAlign w:val="center"/>
            <w:hideMark/>
          </w:tcPr>
          <w:p w:rsidR="00DE7C5C" w:rsidRPr="00DE7C5C" w:rsidRDefault="00DE7C5C" w:rsidP="00DE7C5C">
            <w:bookmarkStart w:id="4" w:name="Cyprus"/>
            <w:bookmarkEnd w:id="4"/>
            <w:r w:rsidRPr="00DE7C5C">
              <w:t>Cyprus:</w:t>
            </w:r>
            <w:r w:rsidRPr="00DE7C5C">
              <w:br/>
            </w:r>
            <w:r w:rsidRPr="00DE7C5C">
              <w:br/>
            </w:r>
            <w:proofErr w:type="spellStart"/>
            <w:r w:rsidRPr="00DE7C5C">
              <w:t>Oziol</w:t>
            </w:r>
            <w:proofErr w:type="spellEnd"/>
            <w:r w:rsidRPr="00DE7C5C">
              <w:t xml:space="preserve"> &amp; </w:t>
            </w:r>
            <w:proofErr w:type="spellStart"/>
            <w:r w:rsidRPr="00DE7C5C">
              <w:t>Pouilloux</w:t>
            </w:r>
            <w:proofErr w:type="spellEnd"/>
            <w:r w:rsidRPr="00DE7C5C">
              <w:t xml:space="preserve">, </w:t>
            </w:r>
            <w:proofErr w:type="spellStart"/>
            <w:r w:rsidRPr="00DE7C5C">
              <w:t>Salamine</w:t>
            </w:r>
            <w:proofErr w:type="spellEnd"/>
            <w:r w:rsidRPr="00DE7C5C">
              <w:t xml:space="preserve"> de Chypre - I: Les </w:t>
            </w:r>
            <w:proofErr w:type="spellStart"/>
            <w:r w:rsidRPr="00DE7C5C">
              <w:t>Lampes</w:t>
            </w:r>
            <w:proofErr w:type="spellEnd"/>
            <w:r w:rsidRPr="00DE7C5C">
              <w:t>, Paris, 1969.</w:t>
            </w:r>
            <w:r w:rsidRPr="00DE7C5C">
              <w:br/>
              <w:t>In French, catalogue of lamps excavated at Salamis in Cyprus.</w:t>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220980" cy="137160"/>
                  <wp:effectExtent l="0" t="0" r="7620" b="0"/>
                  <wp:docPr id="9" name="Picture 9"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7048500" cy="7620"/>
                  <wp:effectExtent l="0" t="0" r="0" b="0"/>
                  <wp:docPr id="8" name="Picture 8" descr="http://www.romulus2.com/lamps/images_shared/maroon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mulus2.com/lamps/images_shared/maroon_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762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t> </w:t>
            </w:r>
          </w:p>
        </w:tc>
      </w:tr>
      <w:tr w:rsidR="00DE7C5C" w:rsidRPr="00DE7C5C" w:rsidTr="00DE7C5C">
        <w:trPr>
          <w:tblCellSpacing w:w="15" w:type="dxa"/>
        </w:trPr>
        <w:tc>
          <w:tcPr>
            <w:tcW w:w="0" w:type="auto"/>
            <w:vAlign w:val="center"/>
            <w:hideMark/>
          </w:tcPr>
          <w:p w:rsidR="00DE7C5C" w:rsidRPr="00DE7C5C" w:rsidRDefault="00DE7C5C" w:rsidP="00DE7C5C">
            <w:bookmarkStart w:id="5" w:name="Middle"/>
            <w:bookmarkEnd w:id="5"/>
            <w:r w:rsidRPr="00DE7C5C">
              <w:t>Middle (Near) East:</w:t>
            </w:r>
            <w:r w:rsidRPr="00DE7C5C">
              <w:br/>
            </w:r>
            <w:r w:rsidRPr="00DE7C5C">
              <w:br/>
              <w:t xml:space="preserve">R. Rosenthal &amp; R. Sivan, </w:t>
            </w:r>
            <w:proofErr w:type="spellStart"/>
            <w:r w:rsidRPr="00DE7C5C">
              <w:t>Qedem</w:t>
            </w:r>
            <w:proofErr w:type="spellEnd"/>
            <w:r w:rsidRPr="00DE7C5C">
              <w:t xml:space="preserve"> 8, Monographs of the Institute of Archaeology: Ancient Lamps in the </w:t>
            </w:r>
            <w:proofErr w:type="spellStart"/>
            <w:r w:rsidRPr="00DE7C5C">
              <w:t>Schloessinger</w:t>
            </w:r>
            <w:proofErr w:type="spellEnd"/>
            <w:r w:rsidRPr="00DE7C5C">
              <w:t xml:space="preserve"> Collection, The Hebrew University of Jerusalem, 1978.</w:t>
            </w:r>
            <w:r w:rsidRPr="00DE7C5C">
              <w:br/>
              <w:t xml:space="preserve">Standard reference, the collection includes a good general selection of lamps in addition to those specifically from the Levant. </w:t>
            </w:r>
            <w:r w:rsidRPr="00DE7C5C">
              <w:br/>
            </w:r>
            <w:r w:rsidRPr="00DE7C5C">
              <w:br/>
            </w:r>
            <w:r w:rsidRPr="00DE7C5C">
              <w:rPr>
                <w:highlight w:val="yellow"/>
              </w:rPr>
              <w:t xml:space="preserve">Y. Israeli &amp; U. </w:t>
            </w:r>
            <w:proofErr w:type="spellStart"/>
            <w:r w:rsidRPr="00DE7C5C">
              <w:rPr>
                <w:highlight w:val="yellow"/>
              </w:rPr>
              <w:t>Avida</w:t>
            </w:r>
            <w:proofErr w:type="spellEnd"/>
            <w:r w:rsidRPr="00DE7C5C">
              <w:rPr>
                <w:highlight w:val="yellow"/>
              </w:rPr>
              <w:t xml:space="preserve">, Oil-Lamps from </w:t>
            </w:r>
            <w:proofErr w:type="spellStart"/>
            <w:r w:rsidRPr="00DE7C5C">
              <w:rPr>
                <w:highlight w:val="yellow"/>
              </w:rPr>
              <w:t>Eretz</w:t>
            </w:r>
            <w:proofErr w:type="spellEnd"/>
            <w:r w:rsidRPr="00DE7C5C">
              <w:rPr>
                <w:highlight w:val="yellow"/>
              </w:rPr>
              <w:t xml:space="preserve"> Israel: The Louis and Carmen </w:t>
            </w:r>
            <w:proofErr w:type="spellStart"/>
            <w:r w:rsidRPr="00DE7C5C">
              <w:rPr>
                <w:highlight w:val="yellow"/>
              </w:rPr>
              <w:t>Warschaw</w:t>
            </w:r>
            <w:proofErr w:type="spellEnd"/>
            <w:r w:rsidRPr="00DE7C5C">
              <w:rPr>
                <w:highlight w:val="yellow"/>
              </w:rPr>
              <w:t xml:space="preserve"> Collection at the Israel Museum, Jerusalem, Israel Museum, 1988.</w:t>
            </w:r>
            <w:r w:rsidRPr="00DE7C5C">
              <w:rPr>
                <w:highlight w:val="yellow"/>
              </w:rPr>
              <w:br/>
              <w:t>(ISBN 9652780693)</w:t>
            </w:r>
            <w:r w:rsidRPr="00DE7C5C">
              <w:rPr>
                <w:highlight w:val="yellow"/>
              </w:rPr>
              <w:br/>
              <w:t>Catalogue of lamps found in this region.</w:t>
            </w:r>
            <w:r w:rsidRPr="00DE7C5C">
              <w:br/>
            </w:r>
            <w:r w:rsidRPr="00DE7C5C">
              <w:br/>
              <w:t>Noam Adler, Oil Lamps of the Holy Land from the Adler Collection, Israel, 2004.</w:t>
            </w:r>
            <w:r w:rsidRPr="00DE7C5C">
              <w:br/>
              <w:t>(ISBN 9655551660)</w:t>
            </w:r>
            <w:r w:rsidRPr="00DE7C5C">
              <w:br/>
              <w:t>Comprehensive coverage of lamps from Palestine region.</w:t>
            </w:r>
            <w:r w:rsidRPr="00DE7C5C">
              <w:br/>
            </w:r>
            <w:r w:rsidRPr="00DE7C5C">
              <w:br/>
            </w:r>
            <w:proofErr w:type="spellStart"/>
            <w:r w:rsidRPr="00DE7C5C">
              <w:t>Stanislao</w:t>
            </w:r>
            <w:proofErr w:type="spellEnd"/>
            <w:r w:rsidRPr="00DE7C5C">
              <w:t xml:space="preserve"> </w:t>
            </w:r>
            <w:proofErr w:type="spellStart"/>
            <w:r w:rsidRPr="00DE7C5C">
              <w:t>Loffreda</w:t>
            </w:r>
            <w:proofErr w:type="spellEnd"/>
            <w:r w:rsidRPr="00DE7C5C">
              <w:t>, Light and Life, Franciscan Printing Press, Jerusalem, 2001.</w:t>
            </w:r>
            <w:r w:rsidRPr="00DE7C5C">
              <w:br/>
              <w:t>(ISBN 9655160041)</w:t>
            </w:r>
            <w:r w:rsidRPr="00DE7C5C">
              <w:br/>
              <w:t>Softback, an interpretation of Christian inscribed lamps.</w:t>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220980" cy="137160"/>
                  <wp:effectExtent l="0" t="0" r="7620" b="0"/>
                  <wp:docPr id="7" name="Picture 7"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drawing>
                <wp:inline distT="0" distB="0" distL="0" distR="0">
                  <wp:extent cx="7048500" cy="7620"/>
                  <wp:effectExtent l="0" t="0" r="0" b="0"/>
                  <wp:docPr id="6" name="Picture 6" descr="http://www.romulus2.com/lamps/images_shared/maroon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omulus2.com/lamps/images_shared/maroon_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7620"/>
                          </a:xfrm>
                          <a:prstGeom prst="rect">
                            <a:avLst/>
                          </a:prstGeom>
                          <a:noFill/>
                          <a:ln>
                            <a:noFill/>
                          </a:ln>
                        </pic:spPr>
                      </pic:pic>
                    </a:graphicData>
                  </a:graphic>
                </wp:inline>
              </w:drawing>
            </w:r>
          </w:p>
        </w:tc>
      </w:tr>
      <w:tr w:rsidR="00DE7C5C" w:rsidRPr="00DE7C5C" w:rsidTr="00DE7C5C">
        <w:trPr>
          <w:tblCellSpacing w:w="15" w:type="dxa"/>
        </w:trPr>
        <w:tc>
          <w:tcPr>
            <w:tcW w:w="0" w:type="auto"/>
            <w:vAlign w:val="center"/>
            <w:hideMark/>
          </w:tcPr>
          <w:p w:rsidR="00DE7C5C" w:rsidRPr="00DE7C5C" w:rsidRDefault="00DE7C5C" w:rsidP="00DE7C5C">
            <w:r w:rsidRPr="00DE7C5C">
              <w:t> </w:t>
            </w:r>
          </w:p>
        </w:tc>
      </w:tr>
      <w:tr w:rsidR="00DE7C5C" w:rsidRPr="00DE7C5C" w:rsidTr="00DE7C5C">
        <w:trPr>
          <w:tblCellSpacing w:w="15" w:type="dxa"/>
        </w:trPr>
        <w:tc>
          <w:tcPr>
            <w:tcW w:w="0" w:type="auto"/>
            <w:vAlign w:val="center"/>
            <w:hideMark/>
          </w:tcPr>
          <w:p w:rsidR="00DE7C5C" w:rsidRPr="00DE7C5C" w:rsidRDefault="00DE7C5C" w:rsidP="00DE7C5C">
            <w:bookmarkStart w:id="6" w:name="Africa"/>
            <w:bookmarkEnd w:id="6"/>
            <w:r w:rsidRPr="00DE7C5C">
              <w:t>North Africa:</w:t>
            </w:r>
            <w:r w:rsidRPr="00DE7C5C">
              <w:br/>
            </w:r>
            <w:r w:rsidRPr="00DE7C5C">
              <w:br/>
              <w:t xml:space="preserve">Jean </w:t>
            </w:r>
            <w:proofErr w:type="spellStart"/>
            <w:r w:rsidRPr="00DE7C5C">
              <w:t>Deneauve</w:t>
            </w:r>
            <w:proofErr w:type="spellEnd"/>
            <w:r w:rsidRPr="00DE7C5C">
              <w:t xml:space="preserve">, </w:t>
            </w:r>
            <w:proofErr w:type="spellStart"/>
            <w:r w:rsidRPr="00DE7C5C">
              <w:t>Lampes</w:t>
            </w:r>
            <w:proofErr w:type="spellEnd"/>
            <w:r w:rsidRPr="00DE7C5C">
              <w:t xml:space="preserve"> de Carthage, C.N.R.S., Paris, 1969.</w:t>
            </w:r>
            <w:r w:rsidRPr="00DE7C5C">
              <w:br/>
            </w:r>
            <w:r w:rsidRPr="00DE7C5C">
              <w:lastRenderedPageBreak/>
              <w:t>In French, catalogue of lamps in the Carthage Museum to the end of the Roman period.</w:t>
            </w:r>
            <w:r w:rsidRPr="00DE7C5C">
              <w:br/>
            </w:r>
            <w:r w:rsidRPr="00DE7C5C">
              <w:br/>
              <w:t xml:space="preserve">J.L. </w:t>
            </w:r>
            <w:proofErr w:type="spellStart"/>
            <w:r w:rsidRPr="00DE7C5C">
              <w:t>Herrman</w:t>
            </w:r>
            <w:proofErr w:type="spellEnd"/>
            <w:r w:rsidRPr="00DE7C5C">
              <w:t xml:space="preserve"> &amp; A. van der Hoek, Light from the Age of Augustine, Harvard, 2002.</w:t>
            </w:r>
            <w:r w:rsidRPr="00DE7C5C">
              <w:br/>
              <w:t xml:space="preserve">Softback, lavishly </w:t>
            </w:r>
            <w:proofErr w:type="spellStart"/>
            <w:r w:rsidRPr="00DE7C5C">
              <w:t>colour</w:t>
            </w:r>
            <w:proofErr w:type="spellEnd"/>
            <w:r w:rsidRPr="00DE7C5C">
              <w:t>-illustrated guide to North African red slip ware including many lamps.</w:t>
            </w:r>
            <w:r w:rsidRPr="00DE7C5C">
              <w:br/>
            </w:r>
            <w:r w:rsidRPr="00DE7C5C">
              <w:br/>
              <w:t xml:space="preserve">D.M. Bailey, Excavations at </w:t>
            </w:r>
            <w:proofErr w:type="spellStart"/>
            <w:r w:rsidRPr="00DE7C5C">
              <w:t>Sidi</w:t>
            </w:r>
            <w:proofErr w:type="spellEnd"/>
            <w:r w:rsidRPr="00DE7C5C">
              <w:t xml:space="preserve"> </w:t>
            </w:r>
            <w:proofErr w:type="spellStart"/>
            <w:r w:rsidRPr="00DE7C5C">
              <w:t>Khrebish</w:t>
            </w:r>
            <w:proofErr w:type="spellEnd"/>
            <w:r w:rsidRPr="00DE7C5C">
              <w:t>, Benghazi, Volume III, Part 2: The Lamps, Tripoli, 1985.</w:t>
            </w:r>
            <w:r w:rsidRPr="00DE7C5C">
              <w:br/>
              <w:t xml:space="preserve">Detailed catalogue of lamps excavated at </w:t>
            </w:r>
            <w:proofErr w:type="spellStart"/>
            <w:r w:rsidRPr="00DE7C5C">
              <w:t>Sidi</w:t>
            </w:r>
            <w:proofErr w:type="spellEnd"/>
            <w:r w:rsidRPr="00DE7C5C">
              <w:t xml:space="preserve"> </w:t>
            </w:r>
            <w:proofErr w:type="spellStart"/>
            <w:r w:rsidRPr="00DE7C5C">
              <w:t>Khrebish</w:t>
            </w:r>
            <w:proofErr w:type="spellEnd"/>
            <w:r w:rsidRPr="00DE7C5C">
              <w:t xml:space="preserve"> in Libya. </w:t>
            </w:r>
            <w:r w:rsidRPr="00DE7C5C">
              <w:br/>
            </w:r>
            <w:r w:rsidRPr="00DE7C5C">
              <w:br/>
              <w:t xml:space="preserve">E. </w:t>
            </w:r>
            <w:proofErr w:type="spellStart"/>
            <w:r w:rsidRPr="00DE7C5C">
              <w:t>Fabbricotti</w:t>
            </w:r>
            <w:proofErr w:type="spellEnd"/>
            <w:r w:rsidRPr="00DE7C5C">
              <w:t xml:space="preserve">, </w:t>
            </w:r>
            <w:proofErr w:type="spellStart"/>
            <w:r w:rsidRPr="00DE7C5C">
              <w:t>Catalogo</w:t>
            </w:r>
            <w:proofErr w:type="spellEnd"/>
            <w:r w:rsidRPr="00DE7C5C">
              <w:t xml:space="preserve"> </w:t>
            </w:r>
            <w:proofErr w:type="spellStart"/>
            <w:r w:rsidRPr="00DE7C5C">
              <w:t>delle</w:t>
            </w:r>
            <w:proofErr w:type="spellEnd"/>
            <w:r w:rsidRPr="00DE7C5C">
              <w:t xml:space="preserve"> </w:t>
            </w:r>
            <w:proofErr w:type="spellStart"/>
            <w:r w:rsidRPr="00DE7C5C">
              <w:t>lucerne</w:t>
            </w:r>
            <w:proofErr w:type="spellEnd"/>
            <w:r w:rsidRPr="00DE7C5C">
              <w:t xml:space="preserve"> di </w:t>
            </w:r>
            <w:proofErr w:type="spellStart"/>
            <w:r w:rsidRPr="00DE7C5C">
              <w:t>Tolemaide</w:t>
            </w:r>
            <w:proofErr w:type="spellEnd"/>
            <w:r w:rsidRPr="00DE7C5C">
              <w:t xml:space="preserve"> (</w:t>
            </w:r>
            <w:proofErr w:type="spellStart"/>
            <w:r w:rsidRPr="00DE7C5C">
              <w:t>Cirenaica</w:t>
            </w:r>
            <w:proofErr w:type="spellEnd"/>
            <w:r w:rsidRPr="00DE7C5C">
              <w:t>), BAR International Series 962, Oxford, 2001.</w:t>
            </w:r>
            <w:r w:rsidRPr="00DE7C5C">
              <w:br/>
              <w:t>(ISBN 1841711829)</w:t>
            </w:r>
            <w:r w:rsidRPr="00DE7C5C">
              <w:br/>
              <w:t>In Italian, detailed catalogue of locally found lamps.</w:t>
            </w:r>
          </w:p>
        </w:tc>
      </w:tr>
      <w:tr w:rsidR="00DE7C5C" w:rsidRPr="00DE7C5C" w:rsidTr="00DE7C5C">
        <w:trPr>
          <w:tblCellSpacing w:w="15" w:type="dxa"/>
        </w:trPr>
        <w:tc>
          <w:tcPr>
            <w:tcW w:w="0" w:type="auto"/>
            <w:vAlign w:val="center"/>
            <w:hideMark/>
          </w:tcPr>
          <w:p w:rsidR="00DE7C5C" w:rsidRPr="00DE7C5C" w:rsidRDefault="00DE7C5C" w:rsidP="00DE7C5C">
            <w:r w:rsidRPr="00DE7C5C">
              <w:lastRenderedPageBreak/>
              <w:drawing>
                <wp:inline distT="0" distB="0" distL="0" distR="0">
                  <wp:extent cx="220980" cy="137160"/>
                  <wp:effectExtent l="0" t="0" r="7620" b="0"/>
                  <wp:docPr id="5" name="Picture 5" descr="Back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 to to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p>
        </w:tc>
      </w:tr>
    </w:tbl>
    <w:p w:rsidR="00DE7C5C" w:rsidRPr="00EF1613" w:rsidRDefault="00DE7C5C" w:rsidP="00EF1613"/>
    <w:p w:rsidR="0094552F" w:rsidRPr="00EF1613" w:rsidRDefault="0094552F" w:rsidP="00EF1613"/>
    <w:p w:rsidR="008D17EA" w:rsidRPr="00EF1613" w:rsidRDefault="008D17EA" w:rsidP="008D17EA">
      <w:pPr>
        <w:rPr>
          <w:lang w:val="fr-FR"/>
        </w:rPr>
      </w:pPr>
      <w:r w:rsidRPr="00EF1613">
        <w:rPr>
          <w:rStyle w:val="Strong"/>
          <w:lang w:val="fr-FR"/>
        </w:rPr>
        <w:t xml:space="preserve">LC </w:t>
      </w:r>
      <w:proofErr w:type="gramStart"/>
      <w:r w:rsidRPr="00EF1613">
        <w:rPr>
          <w:rStyle w:val="Strong"/>
          <w:lang w:val="fr-FR"/>
        </w:rPr>
        <w:t>Classification:</w:t>
      </w:r>
      <w:proofErr w:type="gramEnd"/>
      <w:r w:rsidRPr="00EF1613">
        <w:rPr>
          <w:lang w:val="fr-FR"/>
        </w:rPr>
        <w:t xml:space="preserve"> NB.150.R57</w:t>
      </w:r>
    </w:p>
    <w:p w:rsidR="008D17EA" w:rsidRDefault="008D17EA" w:rsidP="008D17EA">
      <w:r>
        <w:rPr>
          <w:rStyle w:val="Strong"/>
        </w:rPr>
        <w:t>Date or Time Horizon:</w:t>
      </w:r>
      <w:r>
        <w:t xml:space="preserve"> </w:t>
      </w:r>
    </w:p>
    <w:p w:rsidR="008D17EA" w:rsidRPr="00CD0F29" w:rsidRDefault="008D17EA" w:rsidP="008D17EA">
      <w:pPr>
        <w:rPr>
          <w:rStyle w:val="Strong"/>
          <w:b w:val="0"/>
        </w:rPr>
      </w:pPr>
      <w:r>
        <w:rPr>
          <w:rStyle w:val="Strong"/>
        </w:rPr>
        <w:t xml:space="preserve">Geographical Area: </w:t>
      </w:r>
    </w:p>
    <w:p w:rsidR="008D17EA" w:rsidRDefault="008D17EA" w:rsidP="008D17EA">
      <w:pPr>
        <w:rPr>
          <w:rStyle w:val="Strong"/>
        </w:rPr>
      </w:pPr>
      <w:r>
        <w:rPr>
          <w:rStyle w:val="Strong"/>
        </w:rPr>
        <w:t>Map:</w:t>
      </w:r>
    </w:p>
    <w:p w:rsidR="008D17EA" w:rsidRPr="008D658C" w:rsidRDefault="008D17EA" w:rsidP="008D17EA">
      <w:pPr>
        <w:rPr>
          <w:color w:val="0000FF"/>
          <w:u w:val="single"/>
        </w:rPr>
      </w:pPr>
      <w:r>
        <w:rPr>
          <w:rStyle w:val="Strong"/>
        </w:rPr>
        <w:t>GPS Coordinates:</w:t>
      </w:r>
      <w:r>
        <w:t xml:space="preserve"> </w:t>
      </w:r>
    </w:p>
    <w:p w:rsidR="008D17EA" w:rsidRDefault="008D17EA" w:rsidP="008D17EA">
      <w:r>
        <w:rPr>
          <w:rStyle w:val="Strong"/>
        </w:rPr>
        <w:t>Cultural Affiliation:</w:t>
      </w:r>
      <w:r>
        <w:t xml:space="preserve"> </w:t>
      </w:r>
    </w:p>
    <w:p w:rsidR="008D17EA" w:rsidRDefault="008D17EA" w:rsidP="008D17EA">
      <w:pPr>
        <w:rPr>
          <w:rStyle w:val="Strong"/>
        </w:rPr>
      </w:pPr>
      <w:r>
        <w:rPr>
          <w:rStyle w:val="Strong"/>
        </w:rPr>
        <w:t xml:space="preserve">Geographical Area: </w:t>
      </w:r>
    </w:p>
    <w:p w:rsidR="008D17EA" w:rsidRDefault="008D17EA" w:rsidP="008D17EA">
      <w:r>
        <w:rPr>
          <w:rStyle w:val="Strong"/>
        </w:rPr>
        <w:t>Medium:</w:t>
      </w:r>
      <w:r>
        <w:t xml:space="preserve"> </w:t>
      </w:r>
    </w:p>
    <w:p w:rsidR="008D17EA" w:rsidRPr="008D658C" w:rsidRDefault="008D17EA" w:rsidP="008D17EA">
      <w:pPr>
        <w:rPr>
          <w:b/>
          <w:lang w:val="fr-FR"/>
        </w:rPr>
      </w:pPr>
      <w:r w:rsidRPr="008D658C">
        <w:rPr>
          <w:b/>
          <w:lang w:val="fr-FR"/>
        </w:rPr>
        <w:t>Dimensions</w:t>
      </w:r>
      <w:r w:rsidRPr="008D658C">
        <w:rPr>
          <w:lang w:val="fr-FR"/>
        </w:rPr>
        <w:t xml:space="preserve">: </w:t>
      </w:r>
      <w:r w:rsidRPr="008D658C">
        <w:rPr>
          <w:lang w:val="fr-FR"/>
        </w:rPr>
        <w:br/>
      </w:r>
      <w:proofErr w:type="spellStart"/>
      <w:r w:rsidRPr="008D658C">
        <w:rPr>
          <w:b/>
          <w:lang w:val="fr-FR"/>
        </w:rPr>
        <w:t>Weight</w:t>
      </w:r>
      <w:proofErr w:type="spellEnd"/>
      <w:r w:rsidRPr="008D658C">
        <w:rPr>
          <w:b/>
          <w:lang w:val="fr-FR"/>
        </w:rPr>
        <w:t xml:space="preserve">: </w:t>
      </w:r>
    </w:p>
    <w:p w:rsidR="008D17EA" w:rsidRPr="008D658C" w:rsidRDefault="008D17EA" w:rsidP="008D17EA">
      <w:pPr>
        <w:rPr>
          <w:b/>
          <w:lang w:val="fr-FR"/>
        </w:rPr>
      </w:pPr>
      <w:proofErr w:type="gramStart"/>
      <w:r w:rsidRPr="008D658C">
        <w:rPr>
          <w:b/>
          <w:lang w:val="fr-FR"/>
        </w:rPr>
        <w:t>Provenance</w:t>
      </w:r>
      <w:r>
        <w:rPr>
          <w:rStyle w:val="Strong"/>
          <w:b w:val="0"/>
          <w:lang w:val="fr-FR"/>
        </w:rPr>
        <w:t>:</w:t>
      </w:r>
      <w:proofErr w:type="gramEnd"/>
      <w:r w:rsidRPr="008D658C">
        <w:rPr>
          <w:rStyle w:val="Strong"/>
          <w:b w:val="0"/>
          <w:lang w:val="fr-FR"/>
        </w:rPr>
        <w:t xml:space="preserve"> </w:t>
      </w:r>
    </w:p>
    <w:p w:rsidR="008D17EA" w:rsidRPr="008D658C" w:rsidRDefault="008D17EA" w:rsidP="008D17EA">
      <w:pPr>
        <w:rPr>
          <w:b/>
          <w:lang w:val="fr-FR"/>
        </w:rPr>
      </w:pPr>
      <w:proofErr w:type="gramStart"/>
      <w:r w:rsidRPr="008D658C">
        <w:rPr>
          <w:b/>
          <w:lang w:val="fr-FR"/>
        </w:rPr>
        <w:t>Condition</w:t>
      </w:r>
      <w:r>
        <w:rPr>
          <w:b/>
          <w:lang w:val="fr-FR"/>
        </w:rPr>
        <w:t>:</w:t>
      </w:r>
      <w:proofErr w:type="gramEnd"/>
      <w:r w:rsidRPr="008D658C">
        <w:rPr>
          <w:b/>
          <w:lang w:val="fr-FR"/>
        </w:rPr>
        <w:t xml:space="preserve"> </w:t>
      </w:r>
    </w:p>
    <w:p w:rsidR="008D17EA" w:rsidRDefault="008D17EA" w:rsidP="008D17EA">
      <w:pPr>
        <w:rPr>
          <w:b/>
        </w:rPr>
      </w:pPr>
      <w:r w:rsidRPr="004043CB">
        <w:rPr>
          <w:b/>
        </w:rPr>
        <w:t>Discussion</w:t>
      </w:r>
      <w:r>
        <w:rPr>
          <w:b/>
        </w:rPr>
        <w:t>:</w:t>
      </w:r>
    </w:p>
    <w:p w:rsidR="008D17EA" w:rsidRPr="00050BD4" w:rsidRDefault="008D17EA" w:rsidP="008D17EA">
      <w:pPr>
        <w:rPr>
          <w:b/>
        </w:rPr>
      </w:pPr>
      <w:r w:rsidRPr="00050BD4">
        <w:rPr>
          <w:b/>
        </w:rPr>
        <w:t>References:</w:t>
      </w:r>
    </w:p>
    <w:p w:rsidR="008D17EA" w:rsidRDefault="008D17EA" w:rsidP="008D17EA"/>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EA"/>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4F5"/>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17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17EA"/>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52F"/>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27C"/>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C5B0F"/>
    <w:rsid w:val="00DD0841"/>
    <w:rsid w:val="00DD266E"/>
    <w:rsid w:val="00DD39BF"/>
    <w:rsid w:val="00DD5F76"/>
    <w:rsid w:val="00DE2580"/>
    <w:rsid w:val="00DE2682"/>
    <w:rsid w:val="00DE29E7"/>
    <w:rsid w:val="00DE3C4E"/>
    <w:rsid w:val="00DE4641"/>
    <w:rsid w:val="00DE5C32"/>
    <w:rsid w:val="00DE7361"/>
    <w:rsid w:val="00DE73D9"/>
    <w:rsid w:val="00DE7C5C"/>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1613"/>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5804"/>
  <w15:chartTrackingRefBased/>
  <w15:docId w15:val="{32350819-B7E9-4BC7-B00F-ECC60DAD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7EA"/>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8D17EA"/>
    <w:rPr>
      <w:b/>
      <w:bCs/>
    </w:rPr>
  </w:style>
  <w:style w:type="character" w:customStyle="1" w:styleId="results-note-excessively-long">
    <w:name w:val="results-note-excessively-long"/>
    <w:rsid w:val="008D17EA"/>
  </w:style>
  <w:style w:type="paragraph" w:customStyle="1" w:styleId="Default">
    <w:name w:val="Default"/>
    <w:rsid w:val="001917C8"/>
    <w:pPr>
      <w:autoSpaceDE w:val="0"/>
      <w:autoSpaceDN w:val="0"/>
      <w:adjustRightInd w:val="0"/>
    </w:pPr>
    <w:rPr>
      <w:rFonts w:ascii="Arial" w:hAnsi="Arial" w:cs="Arial"/>
      <w:color w:val="000000"/>
    </w:rPr>
  </w:style>
  <w:style w:type="character" w:styleId="Emphasis">
    <w:name w:val="Emphasis"/>
    <w:basedOn w:val="DefaultParagraphFont"/>
    <w:uiPriority w:val="20"/>
    <w:qFormat/>
    <w:rsid w:val="0094552F"/>
    <w:rPr>
      <w:i/>
      <w:iCs/>
    </w:rPr>
  </w:style>
  <w:style w:type="paragraph" w:styleId="NormalWeb">
    <w:name w:val="Normal (Web)"/>
    <w:basedOn w:val="Normal"/>
    <w:uiPriority w:val="99"/>
    <w:semiHidden/>
    <w:unhideWhenUsed/>
    <w:rsid w:val="00EF1613"/>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5915">
      <w:bodyDiv w:val="1"/>
      <w:marLeft w:val="0"/>
      <w:marRight w:val="0"/>
      <w:marTop w:val="0"/>
      <w:marBottom w:val="0"/>
      <w:divBdr>
        <w:top w:val="none" w:sz="0" w:space="0" w:color="auto"/>
        <w:left w:val="none" w:sz="0" w:space="0" w:color="auto"/>
        <w:bottom w:val="none" w:sz="0" w:space="0" w:color="auto"/>
        <w:right w:val="none" w:sz="0" w:space="0" w:color="auto"/>
      </w:divBdr>
    </w:div>
    <w:div w:id="399526750">
      <w:bodyDiv w:val="1"/>
      <w:marLeft w:val="0"/>
      <w:marRight w:val="0"/>
      <w:marTop w:val="0"/>
      <w:marBottom w:val="0"/>
      <w:divBdr>
        <w:top w:val="none" w:sz="0" w:space="0" w:color="auto"/>
        <w:left w:val="none" w:sz="0" w:space="0" w:color="auto"/>
        <w:bottom w:val="none" w:sz="0" w:space="0" w:color="auto"/>
        <w:right w:val="none" w:sz="0" w:space="0" w:color="auto"/>
      </w:divBdr>
    </w:div>
    <w:div w:id="15464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mulus2.com/lamps/booklist/booklist.shtml#top"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2017-11-15T17:59:00Z</dcterms:created>
  <dcterms:modified xsi:type="dcterms:W3CDTF">2017-11-17T13:54:00Z</dcterms:modified>
</cp:coreProperties>
</file>