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Dis-Eur-Paleo-Czech Republic-26,000 BP-Final Final</w:t>
      </w:r>
    </w:p>
    <w:p>
      <w:pPr>
        <w:pStyle w:val="Normal"/>
        <w:rPr/>
      </w:pPr>
      <w:r>
        <w:rPr/>
        <w:drawing>
          <wp:inline distT="0" distB="0" distL="0" distR="0">
            <wp:extent cx="1454785" cy="25806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a:off x="0" y="0"/>
                      <a:ext cx="1454785" cy="2580640"/>
                    </a:xfrm>
                    <a:prstGeom prst="rect">
                      <a:avLst/>
                    </a:prstGeom>
                  </pic:spPr>
                </pic:pic>
              </a:graphicData>
            </a:graphic>
          </wp:inline>
        </w:drawing>
      </w:r>
      <w:r>
        <w:rPr/>
        <w:drawing>
          <wp:inline distT="0" distB="0" distL="0" distR="0">
            <wp:extent cx="1770380" cy="25806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770380" cy="2580640"/>
                    </a:xfrm>
                    <a:prstGeom prst="rect">
                      <a:avLst/>
                    </a:prstGeom>
                  </pic:spPr>
                </pic:pic>
              </a:graphicData>
            </a:graphic>
          </wp:inline>
        </w:drawing>
      </w:r>
      <w:r>
        <w:rPr/>
        <w:drawing>
          <wp:inline distT="0" distB="0" distL="0" distR="0">
            <wp:extent cx="1840230" cy="25806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 t="-1" r="-2" b="-1"/>
                    <a:stretch>
                      <a:fillRect/>
                    </a:stretch>
                  </pic:blipFill>
                  <pic:spPr bwMode="auto">
                    <a:xfrm>
                      <a:off x="0" y="0"/>
                      <a:ext cx="1840230" cy="2580640"/>
                    </a:xfrm>
                    <a:prstGeom prst="rect">
                      <a:avLst/>
                    </a:prstGeom>
                  </pic:spPr>
                </pic:pic>
              </a:graphicData>
            </a:graphic>
          </wp:inline>
        </w:drawing>
      </w:r>
      <w:r>
        <w:rPr/>
        <w:drawing>
          <wp:inline distT="0" distB="0" distL="0" distR="0">
            <wp:extent cx="1401445" cy="26441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3" r="-6" b="-3"/>
                    <a:stretch>
                      <a:fillRect/>
                    </a:stretch>
                  </pic:blipFill>
                  <pic:spPr bwMode="auto">
                    <a:xfrm flipH="1">
                      <a:off x="0" y="0"/>
                      <a:ext cx="1401445" cy="2644140"/>
                    </a:xfrm>
                    <a:prstGeom prst="rect">
                      <a:avLst/>
                    </a:prstGeom>
                  </pic:spPr>
                </pic:pic>
              </a:graphicData>
            </a:graphic>
          </wp:inline>
        </w:drawing>
      </w:r>
      <w:r>
        <w:rPr/>
        <w:drawing>
          <wp:inline distT="0" distB="0" distL="0" distR="0">
            <wp:extent cx="3270885" cy="343344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 t="-3" r="-3" b="-3"/>
                    <a:stretch>
                      <a:fillRect/>
                    </a:stretch>
                  </pic:blipFill>
                  <pic:spPr bwMode="auto">
                    <a:xfrm>
                      <a:off x="0" y="0"/>
                      <a:ext cx="3270885" cy="3433445"/>
                    </a:xfrm>
                    <a:prstGeom prst="rect">
                      <a:avLst/>
                    </a:prstGeom>
                  </pic:spPr>
                </pic:pic>
              </a:graphicData>
            </a:graphic>
          </wp:inline>
        </w:drawing>
      </w:r>
      <w:r>
        <w:rPr/>
        <w:drawing>
          <wp:inline distT="0" distB="0" distL="0" distR="0">
            <wp:extent cx="2970530" cy="34810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3" t="-3" r="-3" b="-3"/>
                    <a:stretch>
                      <a:fillRect/>
                    </a:stretch>
                  </pic:blipFill>
                  <pic:spPr bwMode="auto">
                    <a:xfrm>
                      <a:off x="0" y="0"/>
                      <a:ext cx="2970530" cy="3481070"/>
                    </a:xfrm>
                    <a:prstGeom prst="rect">
                      <a:avLst/>
                    </a:prstGeom>
                  </pic:spPr>
                </pic:pic>
              </a:graphicData>
            </a:graphic>
          </wp:inline>
        </w:drawing>
      </w:r>
    </w:p>
    <w:p>
      <w:pPr>
        <w:pStyle w:val="Normal"/>
        <w:rPr/>
      </w:pPr>
      <w:r>
        <w:rPr/>
        <w:t>Fig. 1, a-d.  Paleolithic Venus figurine from Predmosti</w:t>
      </w:r>
      <w:r>
        <w:rPr>
          <w:b/>
          <w:bCs/>
        </w:rPr>
        <w:t>́</w:t>
      </w:r>
      <w:r>
        <w:rPr>
          <w:rStyle w:val="StrongEmphasis"/>
          <w:b w:val="false"/>
          <w:bCs w:val="false"/>
        </w:rPr>
        <w:t>, Moravia, Czech Republic, dating to the</w:t>
      </w:r>
      <w:r>
        <w:rPr>
          <w:rStyle w:val="StrongEmphasis"/>
        </w:rPr>
        <w:t xml:space="preserve"> </w:t>
      </w:r>
      <w:r>
        <w:rPr>
          <w:rStyle w:val="Emphasis"/>
          <w:i w:val="false"/>
          <w:iCs w:val="false"/>
        </w:rPr>
        <w:t>Würm glaciation</w:t>
      </w:r>
      <w:r>
        <w:rPr>
          <w:rStyle w:val="StrongEmphasis"/>
        </w:rPr>
        <w:t xml:space="preserve">, </w:t>
      </w:r>
      <w:r>
        <w:rPr>
          <w:rStyle w:val="StrongEmphasis"/>
          <w:b w:val="false"/>
          <w:bCs w:val="false"/>
        </w:rPr>
        <w:t>ca. 26,000 BP.</w:t>
      </w:r>
    </w:p>
    <w:p>
      <w:pPr>
        <w:pStyle w:val="Normal"/>
        <w:rPr>
          <w:rStyle w:val="StrongEmphasis"/>
          <w:b w:val="false"/>
          <w:b w:val="false"/>
          <w:bCs w:val="false"/>
        </w:rPr>
      </w:pPr>
      <w:r>
        <w:rPr/>
      </w:r>
    </w:p>
    <w:p>
      <w:pPr>
        <w:pStyle w:val="Normal"/>
        <w:rPr/>
      </w:pPr>
      <w:r>
        <w:rPr>
          <w:rStyle w:val="StrongEmphasis"/>
        </w:rPr>
        <w:t xml:space="preserve">Formal Label: Paleolithic Venus figurine from </w:t>
      </w:r>
      <w:r>
        <w:rPr>
          <w:b/>
          <w:bCs/>
        </w:rPr>
        <w:t>Predmostí</w:t>
      </w:r>
      <w:r>
        <w:rPr>
          <w:b/>
          <w:bCs/>
          <w:i/>
          <w:iCs/>
        </w:rPr>
        <w:t xml:space="preserve"> </w:t>
      </w:r>
      <w:r>
        <w:rPr>
          <w:b/>
          <w:bCs/>
        </w:rPr>
        <w:t xml:space="preserve"> Moravia</w:t>
      </w:r>
      <w:r>
        <w:rPr>
          <w:rStyle w:val="StrongEmphasis"/>
        </w:rPr>
        <w:t xml:space="preserve">, Czech Republic, dating to the </w:t>
      </w:r>
      <w:r>
        <w:rPr>
          <w:rStyle w:val="Emphasis"/>
          <w:b/>
          <w:bCs/>
          <w:i w:val="false"/>
          <w:iCs w:val="false"/>
        </w:rPr>
        <w:t>Würm glaciation</w:t>
      </w:r>
      <w:r>
        <w:rPr>
          <w:rStyle w:val="StrongEmphasis"/>
        </w:rPr>
        <w:t>, ca. 26,000 BP</w:t>
      </w:r>
    </w:p>
    <w:p>
      <w:pPr>
        <w:pStyle w:val="Normal"/>
        <w:rPr/>
      </w:pPr>
      <w:r>
        <w:rPr>
          <w:rStyle w:val="StrongEmphasis"/>
        </w:rPr>
        <w:t>Accession Number:</w:t>
      </w:r>
      <w:r>
        <w:rPr/>
        <w:t xml:space="preserve"> </w:t>
      </w:r>
      <w:r>
        <w:rPr>
          <w:b/>
          <w:bCs/>
        </w:rPr>
        <w:t>DB550.A1</w:t>
      </w:r>
    </w:p>
    <w:p>
      <w:pPr>
        <w:pStyle w:val="Normal"/>
        <w:rPr/>
      </w:pPr>
      <w:r>
        <w:rPr>
          <w:rStyle w:val="StrongEmphasis"/>
        </w:rPr>
        <w:t>Date or Time Horizon:</w:t>
      </w:r>
      <w:r>
        <w:rPr/>
        <w:t xml:space="preserve"> </w:t>
      </w:r>
      <w:r>
        <w:rPr>
          <w:b/>
          <w:bCs/>
        </w:rPr>
        <w:t>26,000 BP</w:t>
      </w:r>
    </w:p>
    <w:p>
      <w:pPr>
        <w:pStyle w:val="Normal"/>
        <w:rPr/>
      </w:pPr>
      <w:r>
        <w:rPr>
          <w:rStyle w:val="StrongEmphasis"/>
        </w:rPr>
        <w:t>Geographical Area:</w:t>
      </w:r>
      <w:r>
        <w:rPr/>
        <w:t xml:space="preserve"> </w:t>
      </w:r>
      <w:r>
        <w:rPr>
          <w:b/>
          <w:bCs/>
        </w:rPr>
        <w:t>Predmostí,</w:t>
      </w:r>
      <w:r>
        <w:rPr>
          <w:b/>
          <w:bCs/>
          <w:i/>
          <w:iCs/>
        </w:rPr>
        <w:t xml:space="preserve"> </w:t>
      </w:r>
      <w:r>
        <w:rPr>
          <w:b/>
          <w:bCs/>
        </w:rPr>
        <w:t xml:space="preserve"> Moravia, </w:t>
      </w:r>
      <w:r>
        <w:rPr>
          <w:rStyle w:val="StrongEmphasis"/>
        </w:rPr>
        <w:t>Czech Republic</w:t>
      </w:r>
    </w:p>
    <w:p>
      <w:pPr>
        <w:pStyle w:val="Normal"/>
        <w:rPr/>
      </w:pPr>
      <w:r>
        <w:rPr>
          <w:rStyle w:val="StrongEmphasis"/>
        </w:rPr>
        <w:t>Cultural Affiliation:</w:t>
      </w:r>
      <w:r>
        <w:rPr/>
        <w:t xml:space="preserve"> </w:t>
      </w:r>
      <w:r>
        <w:rPr>
          <w:b/>
          <w:bCs/>
        </w:rPr>
        <w:t>Pavlovian period</w:t>
      </w:r>
    </w:p>
    <w:p>
      <w:pPr>
        <w:pStyle w:val="Normal"/>
        <w:rPr/>
      </w:pPr>
      <w:r>
        <w:rPr>
          <w:rStyle w:val="StrongEmphasis"/>
        </w:rPr>
        <w:t>Medium:</w:t>
      </w:r>
      <w:r>
        <w:rPr/>
        <w:t xml:space="preserve"> </w:t>
      </w:r>
      <w:r>
        <w:rPr>
          <w:b/>
          <w:bCs/>
        </w:rPr>
        <w:t>Limestone</w:t>
      </w:r>
    </w:p>
    <w:p>
      <w:pPr>
        <w:pStyle w:val="Normal"/>
        <w:rPr/>
      </w:pPr>
      <w:r>
        <w:rPr>
          <w:rStyle w:val="StrongEmphasis"/>
        </w:rPr>
        <w:t>Dimensions:</w:t>
      </w:r>
      <w:r>
        <w:rPr/>
        <w:t xml:space="preserve"> </w:t>
      </w:r>
      <w:r>
        <w:rPr>
          <w:b/>
          <w:bCs/>
        </w:rPr>
        <w:t>H 5.2 cm x 2.8 cm x 1.8 cm (ca. 2.05 x 1.10 x 0.71 in) </w:t>
      </w:r>
    </w:p>
    <w:p>
      <w:pPr>
        <w:pStyle w:val="Normal"/>
        <w:rPr/>
      </w:pPr>
      <w:r>
        <w:rPr>
          <w:rStyle w:val="StrongEmphasis"/>
        </w:rPr>
        <w:t>Weight:  43 gm</w:t>
      </w:r>
    </w:p>
    <w:p>
      <w:pPr>
        <w:pStyle w:val="Normal"/>
        <w:rPr/>
      </w:pPr>
      <w:r>
        <w:rPr>
          <w:rStyle w:val="StrongEmphasis"/>
        </w:rPr>
        <w:t>Provenance:</w:t>
      </w:r>
      <w:r>
        <w:rPr/>
        <w:t xml:space="preserve"> </w:t>
      </w:r>
      <w:r>
        <w:rPr>
          <w:b/>
          <w:bCs/>
        </w:rPr>
        <w:t>J. M. R., St Jean Cap, Ferrat, France, from a private archaeologist’s collection from a Spanish inheritance; Atlantika collection 2016.</w:t>
      </w:r>
    </w:p>
    <w:p>
      <w:pPr>
        <w:pStyle w:val="Normal"/>
        <w:rPr/>
      </w:pPr>
      <w:r>
        <w:rPr/>
      </w:r>
    </w:p>
    <w:p>
      <w:pPr>
        <w:pStyle w:val="Normal"/>
        <w:rPr/>
      </w:pPr>
      <w:r>
        <w:rPr/>
        <w:t>This figurine is very similar to those unearthed figurines carved from mammoth metatarsals at Predmosti</w:t>
      </w:r>
      <w:r>
        <w:rPr>
          <w:b/>
          <w:bCs/>
        </w:rPr>
        <w:t>́</w:t>
      </w:r>
      <w:r>
        <w:rPr>
          <w:b/>
          <w:bCs/>
          <w:i/>
          <w:iCs/>
        </w:rPr>
        <w:t xml:space="preserve"> </w:t>
      </w:r>
      <w:r>
        <w:rPr/>
        <w:t xml:space="preserve"> near Prerov, dated to 26,800 BP now in the Moravian Museum in Brno, Czech Republic, Based on the fact that this figurine is carved from limestone, it suggests that either mammoth metatarsals were no longer available or that the choice of a limestone medium was preferred or more readily available to the artist. If these hypotheses are correct then this figurine might date to a time horizon </w:t>
      </w:r>
      <w:r>
        <w:rPr>
          <w:rStyle w:val="StrongEmphasis"/>
          <w:b w:val="false"/>
          <w:bCs w:val="false"/>
        </w:rPr>
        <w:t>not long after the very similar</w:t>
      </w:r>
      <w:r>
        <w:rPr>
          <w:rStyle w:val="StrongEmphasis"/>
        </w:rPr>
        <w:t xml:space="preserve"> </w:t>
      </w:r>
      <w:r>
        <w:rPr/>
        <w:t>figurines were carved from mammoth metatarsals at Predmosti</w:t>
      </w:r>
      <w:r>
        <w:rPr>
          <w:b/>
          <w:bCs/>
        </w:rPr>
        <w:t>́</w:t>
      </w:r>
      <w:r>
        <w:rPr/>
        <w:t>. Therefore the time horizon for this figurine would be ca. 26,000 BP (see Fig. 3).</w:t>
      </w:r>
    </w:p>
    <w:p>
      <w:pPr>
        <w:pStyle w:val="Normal"/>
        <w:rPr/>
      </w:pPr>
      <w:r>
        <w:rPr/>
      </w:r>
    </w:p>
    <w:p>
      <w:pPr>
        <w:pStyle w:val="Normal"/>
        <w:rPr/>
      </w:pPr>
      <w:r>
        <w:rPr/>
        <w:drawing>
          <wp:inline distT="0" distB="0" distL="0" distR="0">
            <wp:extent cx="6154420" cy="413575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6" t="-9" r="-6" b="-9"/>
                    <a:stretch>
                      <a:fillRect/>
                    </a:stretch>
                  </pic:blipFill>
                  <pic:spPr bwMode="auto">
                    <a:xfrm>
                      <a:off x="0" y="0"/>
                      <a:ext cx="6154420" cy="4135755"/>
                    </a:xfrm>
                    <a:prstGeom prst="rect">
                      <a:avLst/>
                    </a:prstGeom>
                  </pic:spPr>
                </pic:pic>
              </a:graphicData>
            </a:graphic>
          </wp:inline>
        </w:drawing>
      </w:r>
    </w:p>
    <w:p>
      <w:pPr>
        <w:pStyle w:val="Normal"/>
        <w:rPr>
          <w:sz w:val="22"/>
          <w:vertAlign w:val="superscript"/>
        </w:rPr>
      </w:pPr>
      <w:r>
        <w:rPr/>
        <w:t>Fig. 2. Map showing location of Predmosti</w:t>
      </w:r>
      <w:r>
        <w:rPr>
          <w:b/>
          <w:bCs/>
        </w:rPr>
        <w:t>́</w:t>
      </w:r>
      <w:r>
        <w:rPr>
          <w:b/>
          <w:bCs/>
          <w:i/>
          <w:iCs/>
        </w:rPr>
        <w:t xml:space="preserve"> </w:t>
      </w:r>
      <w:r>
        <w:rPr/>
        <w:t xml:space="preserve"> with the </w:t>
      </w:r>
      <w:r>
        <w:rPr>
          <w:lang w:val="en"/>
        </w:rPr>
        <w:t>landscape and vegetation in the Würm / Weichsel glaciation.</w:t>
      </w:r>
      <w:r>
        <w:rPr/>
        <w:t xml:space="preserve">  From http://www.vinetowinecircle.com/wp-content/gallery/genetica-reflexoes/thumbs/thumbs_fig02.jpg</w:t>
      </w:r>
    </w:p>
    <w:p>
      <w:pPr>
        <w:pStyle w:val="Normal"/>
        <w:rPr>
          <w:rStyle w:val="Ngbinding"/>
          <w:sz w:val="22"/>
          <w:vertAlign w:val="superscript"/>
        </w:rPr>
      </w:pPr>
      <w:r>
        <w:rPr>
          <w:sz w:val="22"/>
          <w:vertAlign w:val="superscript"/>
        </w:rPr>
      </w:r>
    </w:p>
    <w:p>
      <w:pPr>
        <w:pStyle w:val="Normal"/>
        <w:rPr/>
      </w:pPr>
      <w:r>
        <w:rPr/>
        <w:drawing>
          <wp:inline distT="0" distB="0" distL="0" distR="0">
            <wp:extent cx="6482080" cy="208978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2" t="-8" r="-2" b="-8"/>
                    <a:stretch>
                      <a:fillRect/>
                    </a:stretch>
                  </pic:blipFill>
                  <pic:spPr bwMode="auto">
                    <a:xfrm>
                      <a:off x="0" y="0"/>
                      <a:ext cx="6482080" cy="2089785"/>
                    </a:xfrm>
                    <a:prstGeom prst="rect">
                      <a:avLst/>
                    </a:prstGeom>
                  </pic:spPr>
                </pic:pic>
              </a:graphicData>
            </a:graphic>
          </wp:inline>
        </w:drawing>
      </w:r>
    </w:p>
    <w:p>
      <w:pPr>
        <w:pStyle w:val="Normal"/>
        <w:rPr/>
      </w:pPr>
      <w:r>
        <w:rPr>
          <w:rStyle w:val="Fontstyle11"/>
          <w:lang w:eastAsia="de-DE"/>
        </w:rPr>
        <w:t xml:space="preserve">Fig. 3. A series of five pregnant women known as Venus figurines </w:t>
      </w:r>
      <w:r>
        <w:rPr/>
        <w:t>carved from mammoth metatarsals at Predmosti</w:t>
      </w:r>
      <w:r>
        <w:rPr>
          <w:b/>
          <w:bCs/>
        </w:rPr>
        <w:t>́</w:t>
      </w:r>
      <w:r>
        <w:rPr>
          <w:b/>
          <w:bCs/>
          <w:i/>
          <w:iCs/>
        </w:rPr>
        <w:t xml:space="preserve"> </w:t>
      </w:r>
      <w:r>
        <w:rPr/>
        <w:t xml:space="preserve"> near Prerov, Moravia, dated to 26,800 BP, now in the Moravian Museum in Brno, Czech Republic, Anthropos Institute, accession inv. 11673.</w:t>
      </w:r>
      <w:r>
        <w:rPr>
          <w:rStyle w:val="Fontstyle11"/>
          <w:lang w:eastAsia="de-DE"/>
        </w:rPr>
        <w:t xml:space="preserve"> The Venus far left is 14.5 cm (5,8 </w:t>
      </w:r>
      <w:r>
        <w:rPr>
          <w:rStyle w:val="Fontstyle13"/>
          <w:szCs w:val="16"/>
          <w:lang w:eastAsia="de-DE"/>
        </w:rPr>
        <w:t xml:space="preserve">inches) in </w:t>
      </w:r>
      <w:r>
        <w:rPr>
          <w:rStyle w:val="Fontstyle11"/>
          <w:lang w:eastAsia="de-DE"/>
        </w:rPr>
        <w:t xml:space="preserve">height Venus far right of (Avdejevo) is 10.0 cm (4,0 inches). After </w:t>
      </w:r>
      <w:hyperlink r:id="rId10">
        <w:r>
          <w:rPr>
            <w:rStyle w:val="InternetLink"/>
            <w:lang w:eastAsia="de-DE"/>
          </w:rPr>
          <w:t>http://i.ebayimg.com/00/s/MzIwWDk5Mg==/z/VbUAAOSwr81USBwg/$_14.JPG</w:t>
        </w:r>
      </w:hyperlink>
      <w:r>
        <w:rPr>
          <w:rStyle w:val="Fontstyle11"/>
          <w:lang w:eastAsia="de-DE"/>
        </w:rPr>
        <w:t>.</w:t>
      </w:r>
    </w:p>
    <w:p>
      <w:pPr>
        <w:pStyle w:val="Normal"/>
        <w:rPr>
          <w:rStyle w:val="Fontstyle11"/>
          <w:lang w:eastAsia="de-DE"/>
        </w:rPr>
      </w:pPr>
      <w:r>
        <w:rPr/>
      </w:r>
    </w:p>
    <w:p>
      <w:pPr>
        <w:pStyle w:val="Normal"/>
        <w:rPr>
          <w:rStyle w:val="Fontstyle11"/>
          <w:b/>
          <w:b/>
          <w:bCs/>
          <w:lang w:eastAsia="de-DE"/>
        </w:rPr>
      </w:pPr>
      <w:r>
        <w:rPr/>
      </w:r>
    </w:p>
    <w:p>
      <w:pPr>
        <w:pStyle w:val="Normal"/>
        <w:rPr>
          <w:b/>
          <w:b/>
          <w:bCs/>
        </w:rPr>
      </w:pPr>
      <w:r>
        <w:rPr>
          <w:b/>
          <w:bCs/>
        </w:rPr>
      </w:r>
    </w:p>
    <w:p>
      <w:pPr>
        <w:pStyle w:val="Normal"/>
        <w:rPr>
          <w:b/>
          <w:b/>
          <w:bCs/>
        </w:rPr>
      </w:pPr>
      <w:r>
        <w:rPr>
          <w:b/>
          <w:bCs/>
        </w:rPr>
        <w:t xml:space="preserve">References: </w:t>
      </w:r>
    </w:p>
    <w:p>
      <w:pPr>
        <w:pStyle w:val="Heading1"/>
        <w:rPr/>
      </w:pPr>
      <w:r>
        <w:rPr>
          <w:b w:val="false"/>
          <w:bCs w:val="false"/>
          <w:sz w:val="24"/>
        </w:rPr>
        <w:t xml:space="preserve">Absolon, K., Bohuslav Klíma. 1977. </w:t>
      </w:r>
      <w:r>
        <w:rPr>
          <w:b w:val="false"/>
          <w:bCs w:val="false"/>
          <w:i/>
          <w:iCs/>
          <w:sz w:val="24"/>
        </w:rPr>
        <w:t>Predmostí : ein Mammutjägerplatz in Mähren</w:t>
      </w:r>
      <w:r>
        <w:rPr>
          <w:b w:val="false"/>
          <w:bCs w:val="false"/>
          <w:sz w:val="24"/>
        </w:rPr>
        <w:t xml:space="preserve">. </w:t>
      </w:r>
      <w:r>
        <w:rPr>
          <w:rStyle w:val="Itempublisher"/>
          <w:b/>
          <w:bCs/>
          <w:sz w:val="24"/>
        </w:rPr>
        <w:t>Brno: Archeologický Ústav Ceskoslovenské Akademie Ved v. Brno.</w:t>
      </w:r>
    </w:p>
    <w:p>
      <w:pPr>
        <w:pStyle w:val="Heading1"/>
        <w:rPr/>
      </w:pPr>
      <w:r>
        <w:rPr>
          <w:b w:val="false"/>
          <w:bCs w:val="false"/>
          <w:sz w:val="24"/>
        </w:rPr>
        <w:t xml:space="preserve">Levadoux, L., 1956. </w:t>
      </w:r>
      <w:r>
        <w:rPr>
          <w:b w:val="false"/>
          <w:bCs w:val="false"/>
          <w:i/>
          <w:iCs/>
          <w:sz w:val="24"/>
        </w:rPr>
        <w:t>Les populations sauvages et cultivées des Vitis vinifera L</w:t>
      </w:r>
      <w:r>
        <w:rPr>
          <w:b w:val="false"/>
          <w:bCs w:val="false"/>
          <w:sz w:val="24"/>
        </w:rPr>
        <w:t xml:space="preserve"> (Vol. 1). Institut national de la recherche agronomique.</w:t>
      </w:r>
    </w:p>
    <w:p>
      <w:pPr>
        <w:pStyle w:val="Normal"/>
        <w:rPr>
          <w:b/>
          <w:b/>
          <w:bCs/>
          <w:sz w:val="24"/>
        </w:rPr>
      </w:pPr>
      <w:r>
        <w:rPr>
          <w:b/>
          <w:bCs/>
          <w:sz w:val="24"/>
        </w:rPr>
      </w:r>
    </w:p>
    <w:sectPr>
      <w:footerReference w:type="default" r:id="rId11"/>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12">
              <wp:simplePos x="0" y="0"/>
              <wp:positionH relativeFrom="margin">
                <wp:align>center</wp:align>
              </wp:positionH>
              <wp:positionV relativeFrom="paragraph">
                <wp:posOffset>635</wp:posOffset>
              </wp:positionV>
              <wp:extent cx="76835" cy="175260"/>
              <wp:effectExtent l="0" t="0" r="0" b="0"/>
              <wp:wrapSquare wrapText="largest"/>
              <wp:docPr id="9"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rPr>
      <w:color w:val="800080"/>
      <w:u w:val="single"/>
    </w:rPr>
  </w:style>
  <w:style w:type="character" w:styleId="Itempublisher">
    <w:name w:val="itempublisher"/>
    <w:basedOn w:val="DefaultParagraphFont"/>
    <w:qFormat/>
    <w:rPr/>
  </w:style>
  <w:style w:type="character" w:styleId="Emphasis">
    <w:name w:val="Emphasis"/>
    <w:qFormat/>
    <w:rPr>
      <w:i/>
      <w:iCs/>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i.ebayimg.com/00/s/MzIwWDk5Mg==/z/VbUAAOSwr81USBwg/$_14.JPG" TargetMode="Externa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2016-12-07T13:03:00Z</dcterms:created>
  <dc:creator>owner</dc:creator>
  <dc:description/>
  <cp:keywords/>
  <dc:language>en-US</dc:language>
  <cp:lastModifiedBy>Ralph Coffman</cp:lastModifiedBy>
  <cp:lastPrinted>2016-11-28T17:21:00Z</cp:lastPrinted>
  <dcterms:modified xsi:type="dcterms:W3CDTF">2018-08-15T09:55:00Z</dcterms:modified>
  <cp:revision>5</cp:revision>
  <dc:subject/>
  <dc:title>Dis-Eur- Paleo- Czech Republic</dc:title>
</cp:coreProperties>
</file>