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3BF2" w:rsidRDefault="00C1100A" w:rsidP="00A46490">
      <w:pPr>
        <w:spacing w:after="0"/>
        <w:rPr>
          <w:noProof/>
        </w:rPr>
      </w:pPr>
      <w:bookmarkStart w:id="0" w:name="_GoBack"/>
      <w:r>
        <w:rPr>
          <w:noProof/>
        </w:rPr>
        <w:t>A</w:t>
      </w:r>
      <w:r w:rsidR="002D6D49">
        <w:rPr>
          <w:noProof/>
        </w:rPr>
        <w:t>1375</w:t>
      </w:r>
      <w:r w:rsidR="00DF3F99">
        <w:rPr>
          <w:noProof/>
        </w:rPr>
        <w:t>-</w:t>
      </w:r>
      <w:r>
        <w:rPr>
          <w:noProof/>
        </w:rPr>
        <w:t>Eur-France-L</w:t>
      </w:r>
      <w:r w:rsidR="00875F59">
        <w:rPr>
          <w:noProof/>
        </w:rPr>
        <w:t>e</w:t>
      </w:r>
      <w:r>
        <w:rPr>
          <w:noProof/>
        </w:rPr>
        <w:t xml:space="preserve"> Grand Pressigny-Hand Axe-Black Flint</w:t>
      </w:r>
      <w:r w:rsidR="00DF3F99">
        <w:rPr>
          <w:noProof/>
        </w:rPr>
        <w:t>-Mousterian-40,000 BP</w:t>
      </w:r>
    </w:p>
    <w:bookmarkEnd w:id="0"/>
    <w:p w:rsidR="00C1100A" w:rsidRPr="00DF3F99" w:rsidRDefault="00C1100A" w:rsidP="00A46490">
      <w:pPr>
        <w:spacing w:after="0"/>
      </w:pPr>
    </w:p>
    <w:p w:rsidR="00875F59" w:rsidRPr="00DF3F99" w:rsidRDefault="00875F59" w:rsidP="00A46490">
      <w:pPr>
        <w:spacing w:after="0"/>
        <w:rPr>
          <w:noProof/>
        </w:rPr>
      </w:pPr>
      <w:r w:rsidRPr="00DF3F99">
        <w:rPr>
          <w:noProof/>
        </w:rPr>
        <w:t>Fig. 1</w:t>
      </w:r>
      <w:r w:rsidR="00903D84">
        <w:rPr>
          <w:noProof/>
        </w:rPr>
        <w:t>, Le Grand Pressigny-Hand Axe-Black Flint-Mousterian-40,000 BP</w:t>
      </w:r>
    </w:p>
    <w:p w:rsidR="00DF3F99" w:rsidRPr="00DF3F99" w:rsidRDefault="00DF3F99" w:rsidP="00A46490">
      <w:pPr>
        <w:spacing w:after="0"/>
        <w:rPr>
          <w:rStyle w:val="Strong"/>
        </w:rPr>
      </w:pPr>
      <w:r w:rsidRPr="00DF3F99">
        <w:rPr>
          <w:rStyle w:val="Strong"/>
        </w:rPr>
        <w:t>Case no.:</w:t>
      </w:r>
      <w:r>
        <w:rPr>
          <w:rStyle w:val="Strong"/>
        </w:rPr>
        <w:t xml:space="preserve"> 1</w:t>
      </w:r>
    </w:p>
    <w:p w:rsidR="00DF3F99" w:rsidRPr="00DF3F99" w:rsidRDefault="00DF3F99" w:rsidP="00A46490">
      <w:pPr>
        <w:spacing w:after="0"/>
        <w:rPr>
          <w:rStyle w:val="Strong"/>
        </w:rPr>
      </w:pPr>
      <w:r w:rsidRPr="00DF3F99">
        <w:rPr>
          <w:rStyle w:val="Strong"/>
        </w:rPr>
        <w:t>Accession Number:</w:t>
      </w:r>
      <w:r>
        <w:rPr>
          <w:rStyle w:val="Strong"/>
        </w:rPr>
        <w:t xml:space="preserve"> A</w:t>
      </w:r>
      <w:r w:rsidR="002D6D49">
        <w:rPr>
          <w:rStyle w:val="Strong"/>
        </w:rPr>
        <w:t>1375</w:t>
      </w:r>
    </w:p>
    <w:p w:rsidR="00DF3F99" w:rsidRPr="00DF3F99" w:rsidRDefault="00DF3F99" w:rsidP="00A46490">
      <w:pPr>
        <w:spacing w:after="0"/>
        <w:rPr>
          <w:rStyle w:val="Strong"/>
        </w:rPr>
      </w:pPr>
      <w:r w:rsidRPr="00DF3F99">
        <w:rPr>
          <w:rStyle w:val="Strong"/>
        </w:rPr>
        <w:t>Formal Label:</w:t>
      </w:r>
      <w:r w:rsidR="00903D84">
        <w:rPr>
          <w:rStyle w:val="Strong"/>
        </w:rPr>
        <w:t xml:space="preserve"> </w:t>
      </w:r>
      <w:r w:rsidR="00903D84">
        <w:rPr>
          <w:noProof/>
        </w:rPr>
        <w:t>Le Grand Pressigny-Hand Axe-Black Flint-Mousterian-40,000 BP</w:t>
      </w:r>
    </w:p>
    <w:p w:rsidR="00DF3F99" w:rsidRDefault="00DF3F99" w:rsidP="00A46490">
      <w:pPr>
        <w:spacing w:after="0"/>
        <w:rPr>
          <w:b/>
          <w:bCs/>
        </w:rPr>
      </w:pPr>
      <w:r w:rsidRPr="00DF3F99">
        <w:rPr>
          <w:b/>
          <w:bCs/>
        </w:rPr>
        <w:t>Display Description:</w:t>
      </w:r>
    </w:p>
    <w:p w:rsidR="00CC2ED0" w:rsidRPr="006D5EDF" w:rsidRDefault="00C1405B" w:rsidP="00A46490">
      <w:pPr>
        <w:spacing w:after="0"/>
        <w:rPr>
          <w:b/>
        </w:rPr>
      </w:pPr>
      <w:r w:rsidRPr="00396D80">
        <w:t>T</w:t>
      </w:r>
      <w:r w:rsidR="00DF3F99" w:rsidRPr="00396D80">
        <w:t>h</w:t>
      </w:r>
      <w:r w:rsidRPr="00396D80">
        <w:t xml:space="preserve">is biface </w:t>
      </w:r>
      <w:r w:rsidR="00CC2ED0" w:rsidRPr="00396D80">
        <w:t>hand</w:t>
      </w:r>
      <w:r w:rsidR="00396D80" w:rsidRPr="00396D80">
        <w:t xml:space="preserve"> </w:t>
      </w:r>
      <w:r w:rsidR="00CC2ED0" w:rsidRPr="00396D80">
        <w:t xml:space="preserve">axe </w:t>
      </w:r>
      <w:r w:rsidRPr="00396D80">
        <w:t>is of the</w:t>
      </w:r>
      <w:r w:rsidR="00DF3F99" w:rsidRPr="00396D80">
        <w:t xml:space="preserve"> “Mousterian </w:t>
      </w:r>
      <w:r w:rsidR="00C44134" w:rsidRPr="00396D80">
        <w:t xml:space="preserve">of </w:t>
      </w:r>
      <w:r w:rsidR="00DF3F99" w:rsidRPr="00396D80">
        <w:t>Acheulea</w:t>
      </w:r>
      <w:r w:rsidRPr="00396D80">
        <w:t xml:space="preserve">n Techno-complex” or MTA. It was made by Neanderthals, </w:t>
      </w:r>
      <w:r w:rsidR="00CC2ED0" w:rsidRPr="00396D80">
        <w:t>ca 50,000</w:t>
      </w:r>
      <w:r w:rsidRPr="00396D80">
        <w:t xml:space="preserve"> BP</w:t>
      </w:r>
      <w:r w:rsidR="00396D80" w:rsidRPr="00396D80">
        <w:t xml:space="preserve"> and found in Le Grand Pressigny area. Other MTA deposits known are </w:t>
      </w:r>
      <w:proofErr w:type="spellStart"/>
      <w:r w:rsidR="00396D80" w:rsidRPr="00396D80">
        <w:t>Fontmaure</w:t>
      </w:r>
      <w:proofErr w:type="spellEnd"/>
      <w:r w:rsidR="00396D80" w:rsidRPr="00396D80">
        <w:t xml:space="preserve"> </w:t>
      </w:r>
      <w:r w:rsidR="00396D80">
        <w:t xml:space="preserve">at </w:t>
      </w:r>
      <w:proofErr w:type="spellStart"/>
      <w:r w:rsidR="00396D80">
        <w:t>Vellèches</w:t>
      </w:r>
      <w:proofErr w:type="spellEnd"/>
      <w:r w:rsidR="00396D80" w:rsidRPr="00396D80">
        <w:t xml:space="preserve">, </w:t>
      </w:r>
      <w:proofErr w:type="spellStart"/>
      <w:r w:rsidR="00396D80" w:rsidRPr="00396D80">
        <w:t>Naulac</w:t>
      </w:r>
      <w:proofErr w:type="spellEnd"/>
      <w:r w:rsidR="00396D80" w:rsidRPr="00396D80">
        <w:t xml:space="preserve"> at Roche-</w:t>
      </w:r>
      <w:proofErr w:type="spellStart"/>
      <w:r w:rsidR="00396D80" w:rsidRPr="00396D80">
        <w:t>Posay</w:t>
      </w:r>
      <w:proofErr w:type="spellEnd"/>
      <w:r w:rsidR="00396D80" w:rsidRPr="00396D80">
        <w:t xml:space="preserve"> and the Pyramid site at Cere-la-Ronde. </w:t>
      </w:r>
      <w:r w:rsidR="00CC2ED0" w:rsidRPr="006D5EDF">
        <w:rPr>
          <w:rStyle w:val="Strong"/>
          <w:b w:val="0"/>
        </w:rPr>
        <w:t xml:space="preserve">The form and execution of this extraordinary </w:t>
      </w:r>
      <w:r w:rsidR="00396D80" w:rsidRPr="006D5EDF">
        <w:rPr>
          <w:rStyle w:val="Strong"/>
          <w:b w:val="0"/>
        </w:rPr>
        <w:t>hand axe</w:t>
      </w:r>
      <w:r w:rsidR="00CC2ED0" w:rsidRPr="006D5EDF">
        <w:rPr>
          <w:rStyle w:val="Strong"/>
          <w:b w:val="0"/>
        </w:rPr>
        <w:t xml:space="preserve"> was fashioned by a Neanderthal in classic </w:t>
      </w:r>
      <w:r w:rsidR="005477FC" w:rsidRPr="006D5EDF">
        <w:rPr>
          <w:rStyle w:val="Strong"/>
          <w:b w:val="0"/>
        </w:rPr>
        <w:t>Mousterian Tradition.</w:t>
      </w:r>
      <w:r w:rsidR="00CC2ED0" w:rsidRPr="006D5EDF">
        <w:rPr>
          <w:rStyle w:val="Strong"/>
          <w:b w:val="0"/>
        </w:rPr>
        <w:t xml:space="preserve">  Unlike their much larger predecessors of the Sahara during the Acheulian, Mousterian </w:t>
      </w:r>
      <w:r w:rsidR="00396D80" w:rsidRPr="006D5EDF">
        <w:rPr>
          <w:rStyle w:val="Strong"/>
          <w:b w:val="0"/>
        </w:rPr>
        <w:t>hand axes</w:t>
      </w:r>
      <w:r w:rsidR="00CC2ED0" w:rsidRPr="006D5EDF">
        <w:rPr>
          <w:rStyle w:val="Strong"/>
          <w:b w:val="0"/>
        </w:rPr>
        <w:t xml:space="preserve"> are much smaller in comparison.  Not only are Mousterian </w:t>
      </w:r>
      <w:r w:rsidR="00396D80" w:rsidRPr="006D5EDF">
        <w:rPr>
          <w:rStyle w:val="Strong"/>
          <w:b w:val="0"/>
        </w:rPr>
        <w:t>hand axes</w:t>
      </w:r>
      <w:r w:rsidR="00CC2ED0" w:rsidRPr="006D5EDF">
        <w:rPr>
          <w:rStyle w:val="Strong"/>
          <w:b w:val="0"/>
        </w:rPr>
        <w:t xml:space="preserve"> considered some of the rarest and most prized tools of the Neanderthals, this exquisite representation is a perfectly executed </w:t>
      </w:r>
      <w:r w:rsidR="00396D80" w:rsidRPr="006D5EDF">
        <w:rPr>
          <w:rStyle w:val="Strong"/>
          <w:b w:val="0"/>
        </w:rPr>
        <w:t>bifacial</w:t>
      </w:r>
      <w:r w:rsidR="00CC2ED0" w:rsidRPr="006D5EDF">
        <w:rPr>
          <w:rStyle w:val="Strong"/>
          <w:b w:val="0"/>
        </w:rPr>
        <w:t xml:space="preserve"> example.  A prominent proximal end knapped base rests up against the palm for comfort.  The entire surface features a rich, heavy soil sheen patina.  Superb shaping and delicate secondary flaking over faces and edges.  </w:t>
      </w:r>
    </w:p>
    <w:p w:rsidR="00C44134" w:rsidRPr="00C44134" w:rsidRDefault="00D468CD" w:rsidP="00A46490">
      <w:pPr>
        <w:spacing w:after="0" w:line="240" w:lineRule="auto"/>
        <w:rPr>
          <w:rFonts w:eastAsia="Times New Roman"/>
        </w:rPr>
      </w:pPr>
      <w:r>
        <w:rPr>
          <w:noProof/>
        </w:rPr>
        <w:drawing>
          <wp:inline distT="0" distB="0" distL="0" distR="0" wp14:anchorId="0B0EED02" wp14:editId="29E8FF59">
            <wp:extent cx="3458126" cy="2722314"/>
            <wp:effectExtent l="0" t="0" r="9525"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463387" cy="2726455"/>
                    </a:xfrm>
                    <a:prstGeom prst="rect">
                      <a:avLst/>
                    </a:prstGeom>
                  </pic:spPr>
                </pic:pic>
              </a:graphicData>
            </a:graphic>
          </wp:inline>
        </w:drawing>
      </w:r>
    </w:p>
    <w:p w:rsidR="00C44134" w:rsidRPr="00C44134" w:rsidRDefault="00C44134" w:rsidP="00A46490">
      <w:pPr>
        <w:spacing w:after="0" w:line="240" w:lineRule="auto"/>
        <w:jc w:val="center"/>
        <w:textAlignment w:val="baseline"/>
        <w:rPr>
          <w:rFonts w:eastAsia="Times New Roman"/>
        </w:rPr>
      </w:pPr>
      <w:r w:rsidRPr="00C44134">
        <w:rPr>
          <w:rFonts w:eastAsia="Times New Roman"/>
        </w:rPr>
        <w:t xml:space="preserve">Location of the study sites and Neanderthal cultures: Mousterian of Acheulean Tradition, MTA, </w:t>
      </w:r>
      <w:proofErr w:type="spellStart"/>
      <w:r w:rsidRPr="00C44134">
        <w:rPr>
          <w:rFonts w:eastAsia="Times New Roman"/>
        </w:rPr>
        <w:t>Keilmessergruppen</w:t>
      </w:r>
      <w:proofErr w:type="spellEnd"/>
      <w:r w:rsidRPr="00C44134">
        <w:rPr>
          <w:rFonts w:eastAsia="Times New Roman"/>
        </w:rPr>
        <w:t xml:space="preserve">, KMG, and transitional – Mousterian with Bifacial Tools, MBT (Karen </w:t>
      </w:r>
      <w:proofErr w:type="spellStart"/>
      <w:r w:rsidRPr="00C44134">
        <w:rPr>
          <w:rFonts w:eastAsia="Times New Roman"/>
        </w:rPr>
        <w:t>Ruebens</w:t>
      </w:r>
      <w:proofErr w:type="spellEnd"/>
      <w:r w:rsidRPr="00C44134">
        <w:rPr>
          <w:rFonts w:eastAsia="Times New Roman"/>
        </w:rPr>
        <w:t>)</w:t>
      </w:r>
    </w:p>
    <w:p w:rsidR="00DF3F99" w:rsidRPr="00396D80" w:rsidRDefault="00DF3F99" w:rsidP="00A46490">
      <w:pPr>
        <w:spacing w:after="0"/>
        <w:rPr>
          <w:b/>
        </w:rPr>
      </w:pPr>
    </w:p>
    <w:p w:rsidR="00DF3F99" w:rsidRPr="00A46490" w:rsidRDefault="00A46490" w:rsidP="00A46490">
      <w:pPr>
        <w:spacing w:after="0"/>
      </w:pPr>
      <w:r w:rsidRPr="005B4E53">
        <w:rPr>
          <w:b/>
        </w:rPr>
        <w:t>GPS coordinates:</w:t>
      </w:r>
      <w:r>
        <w:rPr>
          <w:b/>
        </w:rPr>
        <w:t xml:space="preserve"> </w:t>
      </w:r>
      <w:hyperlink r:id="rId5" w:history="1">
        <w:r w:rsidRPr="00080522">
          <w:rPr>
            <w:rStyle w:val="h-geo"/>
          </w:rPr>
          <w:t>46 ° 55 '19 "</w:t>
        </w:r>
      </w:hyperlink>
      <w:r w:rsidRPr="00080522">
        <w:t xml:space="preserve"> </w:t>
      </w:r>
      <w:hyperlink r:id="rId6" w:history="1">
        <w:r w:rsidRPr="00080522">
          <w:rPr>
            <w:rStyle w:val="h-geo"/>
          </w:rPr>
          <w:t>,</w:t>
        </w:r>
      </w:hyperlink>
      <w:r w:rsidRPr="00080522">
        <w:t xml:space="preserve"> </w:t>
      </w:r>
      <w:hyperlink r:id="rId7" w:history="1">
        <w:r w:rsidRPr="00080522">
          <w:rPr>
            <w:rStyle w:val="h-geo"/>
          </w:rPr>
          <w:t>0 ° 48 '13 "</w:t>
        </w:r>
      </w:hyperlink>
      <w:r>
        <w:rPr>
          <w:rStyle w:val="h-geo"/>
        </w:rPr>
        <w:t xml:space="preserve">. </w:t>
      </w:r>
      <w:r>
        <w:rPr>
          <w:rFonts w:ascii="Verdana" w:hAnsi="Verdana"/>
          <w:color w:val="002020"/>
          <w:sz w:val="21"/>
          <w:szCs w:val="21"/>
          <w:shd w:val="clear" w:color="auto" w:fill="FFFFFF"/>
        </w:rPr>
        <w:t>46.920000: 0.806000E</w:t>
      </w:r>
    </w:p>
    <w:p w:rsidR="00DF3F99" w:rsidRPr="00396D80" w:rsidRDefault="00DF3F99" w:rsidP="00A46490">
      <w:pPr>
        <w:spacing w:after="0"/>
      </w:pPr>
      <w:r w:rsidRPr="00396D80">
        <w:rPr>
          <w:rStyle w:val="Strong"/>
        </w:rPr>
        <w:t>Cultural Affiliation:</w:t>
      </w:r>
      <w:r w:rsidRPr="00396D80">
        <w:t xml:space="preserve"> </w:t>
      </w:r>
      <w:r w:rsidR="002D6D49">
        <w:t>Mousterian</w:t>
      </w:r>
    </w:p>
    <w:p w:rsidR="00A46490" w:rsidRDefault="00A46490" w:rsidP="00A46490">
      <w:pPr>
        <w:spacing w:after="0"/>
      </w:pPr>
      <w:r>
        <w:rPr>
          <w:rStyle w:val="Strong"/>
        </w:rPr>
        <w:t>Medium</w:t>
      </w:r>
      <w:r w:rsidR="00DF3F99" w:rsidRPr="00396D80">
        <w:rPr>
          <w:rStyle w:val="Strong"/>
        </w:rPr>
        <w:t>:</w:t>
      </w:r>
      <w:r w:rsidR="00DF3F99" w:rsidRPr="00396D80">
        <w:t xml:space="preserve"> </w:t>
      </w:r>
      <w:r>
        <w:t>flint</w:t>
      </w:r>
    </w:p>
    <w:p w:rsidR="00DF3F99" w:rsidRPr="00396D80" w:rsidRDefault="00DF3F99" w:rsidP="00A46490">
      <w:pPr>
        <w:spacing w:after="0"/>
        <w:rPr>
          <w:b/>
          <w:bCs/>
        </w:rPr>
      </w:pPr>
      <w:r w:rsidRPr="00396D80">
        <w:rPr>
          <w:rStyle w:val="Strong"/>
        </w:rPr>
        <w:t>Dimensions:</w:t>
      </w:r>
      <w:r w:rsidRPr="00396D80">
        <w:t xml:space="preserve"> </w:t>
      </w:r>
    </w:p>
    <w:p w:rsidR="00DF3F99" w:rsidRPr="00396D80" w:rsidRDefault="00DF3F99" w:rsidP="00A46490">
      <w:pPr>
        <w:spacing w:after="0"/>
        <w:rPr>
          <w:rStyle w:val="Strong"/>
        </w:rPr>
      </w:pPr>
      <w:r w:rsidRPr="00396D80">
        <w:rPr>
          <w:rStyle w:val="Strong"/>
        </w:rPr>
        <w:t xml:space="preserve">Weight:  </w:t>
      </w:r>
    </w:p>
    <w:p w:rsidR="00DF3F99" w:rsidRPr="00396D80" w:rsidRDefault="00DF3F99" w:rsidP="00A46490">
      <w:pPr>
        <w:spacing w:after="0"/>
        <w:rPr>
          <w:rStyle w:val="Strong"/>
        </w:rPr>
      </w:pPr>
      <w:r w:rsidRPr="00396D80">
        <w:rPr>
          <w:rStyle w:val="Strong"/>
        </w:rPr>
        <w:t>Condition:</w:t>
      </w:r>
      <w:r w:rsidR="00A46490">
        <w:rPr>
          <w:rStyle w:val="Strong"/>
        </w:rPr>
        <w:t xml:space="preserve"> original</w:t>
      </w:r>
    </w:p>
    <w:p w:rsidR="00DF3F99" w:rsidRPr="00A46490" w:rsidRDefault="00DF3F99" w:rsidP="00A46490">
      <w:pPr>
        <w:spacing w:after="0" w:line="240" w:lineRule="auto"/>
        <w:rPr>
          <w:rFonts w:eastAsia="Times New Roman"/>
        </w:rPr>
      </w:pPr>
      <w:r w:rsidRPr="00396D80">
        <w:rPr>
          <w:rStyle w:val="Strong"/>
        </w:rPr>
        <w:t>Provenance:</w:t>
      </w:r>
      <w:r w:rsidRPr="00396D80">
        <w:t xml:space="preserve"> </w:t>
      </w:r>
    </w:p>
    <w:p w:rsidR="00DF3F99" w:rsidRPr="00396D80" w:rsidRDefault="00DF3F99" w:rsidP="00A46490">
      <w:pPr>
        <w:spacing w:after="0"/>
        <w:rPr>
          <w:b/>
          <w:bCs/>
        </w:rPr>
      </w:pPr>
      <w:r w:rsidRPr="00396D80">
        <w:rPr>
          <w:b/>
          <w:bCs/>
        </w:rPr>
        <w:t>Discussion:</w:t>
      </w:r>
    </w:p>
    <w:p w:rsidR="00C44134" w:rsidRPr="00C44134" w:rsidRDefault="00AC2649" w:rsidP="00A46490">
      <w:pPr>
        <w:spacing w:after="0"/>
        <w:rPr>
          <w:b/>
          <w:bCs/>
        </w:rPr>
      </w:pPr>
      <w:r w:rsidRPr="00A46490">
        <w:rPr>
          <w:rStyle w:val="Strong"/>
          <w:b w:val="0"/>
          <w:bdr w:val="none" w:sz="0" w:space="0" w:color="auto" w:frame="1"/>
          <w:shd w:val="clear" w:color="auto" w:fill="FFFFFF"/>
        </w:rPr>
        <w:t xml:space="preserve">A study of 1,300 stone hand axes found at 80 Neanderthal sites in France, Germany, Belgium, Britain and the Netherlands shows that two </w:t>
      </w:r>
      <w:r w:rsidRPr="00C44134">
        <w:rPr>
          <w:rFonts w:eastAsia="Times New Roman"/>
        </w:rPr>
        <w:t xml:space="preserve">separate hand axe traditions or designs existed – the Mousterian of Acheulean Tradition </w:t>
      </w:r>
      <w:r>
        <w:rPr>
          <w:rFonts w:eastAsia="Times New Roman"/>
        </w:rPr>
        <w:t xml:space="preserve">(MTA) </w:t>
      </w:r>
      <w:r w:rsidRPr="00C44134">
        <w:rPr>
          <w:rFonts w:eastAsia="Times New Roman"/>
        </w:rPr>
        <w:t xml:space="preserve">in a region now spanning south-western France and Britain and the </w:t>
      </w:r>
      <w:proofErr w:type="spellStart"/>
      <w:r w:rsidRPr="00C44134">
        <w:rPr>
          <w:rFonts w:eastAsia="Times New Roman"/>
        </w:rPr>
        <w:t>Keilmessergruppen</w:t>
      </w:r>
      <w:proofErr w:type="spellEnd"/>
      <w:r w:rsidRPr="00C44134">
        <w:rPr>
          <w:rFonts w:eastAsia="Times New Roman"/>
        </w:rPr>
        <w:t xml:space="preserve"> Tradition in </w:t>
      </w:r>
      <w:r>
        <w:rPr>
          <w:rFonts w:eastAsia="Times New Roman"/>
        </w:rPr>
        <w:t xml:space="preserve">Germany and further to the East </w:t>
      </w:r>
      <w:r w:rsidRPr="00A46490">
        <w:rPr>
          <w:rStyle w:val="Strong"/>
          <w:b w:val="0"/>
          <w:bdr w:val="none" w:sz="0" w:space="0" w:color="auto" w:frame="1"/>
          <w:shd w:val="clear" w:color="auto" w:fill="FFFFFF"/>
        </w:rPr>
        <w:t>between 115,000 to 35,000 BP</w:t>
      </w:r>
      <w:r>
        <w:rPr>
          <w:rStyle w:val="Strong"/>
          <w:bdr w:val="none" w:sz="0" w:space="0" w:color="auto" w:frame="1"/>
          <w:shd w:val="clear" w:color="auto" w:fill="FFFFFF"/>
        </w:rPr>
        <w:t xml:space="preserve"> </w:t>
      </w:r>
      <w:r w:rsidR="00C44134" w:rsidRPr="00C44134">
        <w:rPr>
          <w:rFonts w:eastAsia="Times New Roman"/>
        </w:rPr>
        <w:t xml:space="preserve"> according to study author </w:t>
      </w:r>
      <w:proofErr w:type="spellStart"/>
      <w:r w:rsidR="00C44134" w:rsidRPr="00C44134">
        <w:rPr>
          <w:rFonts w:eastAsia="Times New Roman"/>
        </w:rPr>
        <w:t>Dr</w:t>
      </w:r>
      <w:proofErr w:type="spellEnd"/>
      <w:r w:rsidR="00C44134" w:rsidRPr="00C44134">
        <w:rPr>
          <w:rFonts w:eastAsia="Times New Roman"/>
        </w:rPr>
        <w:t xml:space="preserve"> Karen </w:t>
      </w:r>
      <w:proofErr w:type="spellStart"/>
      <w:r w:rsidR="00C44134" w:rsidRPr="00C44134">
        <w:rPr>
          <w:rFonts w:eastAsia="Times New Roman"/>
        </w:rPr>
        <w:t>Ruebens</w:t>
      </w:r>
      <w:proofErr w:type="spellEnd"/>
      <w:r w:rsidR="00C44134" w:rsidRPr="00C44134">
        <w:rPr>
          <w:rFonts w:eastAsia="Times New Roman"/>
        </w:rPr>
        <w:t xml:space="preserve"> from the University of Southampton, who </w:t>
      </w:r>
      <w:hyperlink r:id="rId8" w:tgtFrame="_blank" w:history="1">
        <w:r w:rsidR="00C44134" w:rsidRPr="00396D80">
          <w:rPr>
            <w:rFonts w:eastAsia="Times New Roman"/>
            <w:bdr w:val="none" w:sz="0" w:space="0" w:color="auto" w:frame="1"/>
          </w:rPr>
          <w:t>reported the results in the </w:t>
        </w:r>
        <w:r w:rsidR="00C44134" w:rsidRPr="00396D80">
          <w:rPr>
            <w:rFonts w:eastAsia="Times New Roman"/>
            <w:i/>
            <w:iCs/>
            <w:bdr w:val="none" w:sz="0" w:space="0" w:color="auto" w:frame="1"/>
          </w:rPr>
          <w:t>Journal of Human Evolution</w:t>
        </w:r>
      </w:hyperlink>
      <w:r w:rsidR="00C44134" w:rsidRPr="00C44134">
        <w:rPr>
          <w:rFonts w:eastAsia="Times New Roman"/>
        </w:rPr>
        <w:t>. She also identified an area covering modern day Belgium and the Netherlands that demonstrates a transition between the two.</w:t>
      </w:r>
      <w:r w:rsidR="00A46490">
        <w:rPr>
          <w:b/>
          <w:bCs/>
        </w:rPr>
        <w:t xml:space="preserve"> </w:t>
      </w:r>
      <w:r w:rsidR="00C44134" w:rsidRPr="00C44134">
        <w:rPr>
          <w:rFonts w:eastAsia="Times New Roman"/>
        </w:rPr>
        <w:t xml:space="preserve">“In Germany and France there appears to be two separate hand axe traditions, with clear boundaries, indicating completely separate, independent developments,” </w:t>
      </w:r>
      <w:proofErr w:type="spellStart"/>
      <w:r w:rsidR="00C44134" w:rsidRPr="00C44134">
        <w:rPr>
          <w:rFonts w:eastAsia="Times New Roman"/>
        </w:rPr>
        <w:t>Dr</w:t>
      </w:r>
      <w:proofErr w:type="spellEnd"/>
      <w:r w:rsidR="00C44134" w:rsidRPr="00C44134">
        <w:rPr>
          <w:rFonts w:eastAsia="Times New Roman"/>
        </w:rPr>
        <w:t xml:space="preserve"> </w:t>
      </w:r>
      <w:proofErr w:type="spellStart"/>
      <w:r w:rsidR="00C44134" w:rsidRPr="00C44134">
        <w:rPr>
          <w:rFonts w:eastAsia="Times New Roman"/>
        </w:rPr>
        <w:t>Ruebens</w:t>
      </w:r>
      <w:proofErr w:type="spellEnd"/>
      <w:r w:rsidR="00C44134" w:rsidRPr="00C44134">
        <w:rPr>
          <w:rFonts w:eastAsia="Times New Roman"/>
        </w:rPr>
        <w:t xml:space="preserve"> commented.</w:t>
      </w:r>
      <w:r w:rsidR="00A46490">
        <w:rPr>
          <w:b/>
          <w:bCs/>
        </w:rPr>
        <w:t xml:space="preserve"> </w:t>
      </w:r>
      <w:r w:rsidR="00C44134" w:rsidRPr="00C44134">
        <w:rPr>
          <w:rFonts w:eastAsia="Times New Roman"/>
        </w:rPr>
        <w:t>“The transition zone in Belgium and Northern France indicates contact between the different groups of Neanderthals, which is generally difficult to identify but has been much talked about, especially in relation to later contacts with groups of modern humans.”</w:t>
      </w:r>
      <w:r w:rsidR="00A46490">
        <w:rPr>
          <w:b/>
          <w:bCs/>
        </w:rPr>
        <w:t xml:space="preserve"> </w:t>
      </w:r>
      <w:r w:rsidR="00C44134" w:rsidRPr="00C44134">
        <w:rPr>
          <w:rFonts w:eastAsia="Times New Roman"/>
        </w:rPr>
        <w:t>“This area can be seen as a melting pot of ideas where mobile groups of Neanderthals, both from the eastern and western tradition, would pass by – influencing each other’s designs and leaving behind a more varied record of bifacial tools.”</w:t>
      </w:r>
      <w:r w:rsidR="00A46490">
        <w:rPr>
          <w:b/>
          <w:bCs/>
        </w:rPr>
        <w:t xml:space="preserve">  </w:t>
      </w:r>
      <w:r w:rsidR="00C44134" w:rsidRPr="00C44134">
        <w:rPr>
          <w:rFonts w:eastAsia="Times New Roman"/>
        </w:rPr>
        <w:t>Neanderthals in the western region made symmetrical, triangular and heart-shaped hand axes, while during the same time period, in the eastern region, they produced asymmetrically shaped bifacial knives.</w:t>
      </w:r>
    </w:p>
    <w:p w:rsidR="00C44134" w:rsidRPr="00C44134" w:rsidRDefault="00C44134" w:rsidP="00A46490">
      <w:pPr>
        <w:shd w:val="clear" w:color="auto" w:fill="FAF2F2"/>
        <w:spacing w:after="0" w:line="240" w:lineRule="auto"/>
        <w:textAlignment w:val="baseline"/>
        <w:rPr>
          <w:rFonts w:eastAsia="Times New Roman"/>
        </w:rPr>
      </w:pPr>
      <w:r w:rsidRPr="00396D80">
        <w:rPr>
          <w:rFonts w:eastAsia="Times New Roman"/>
          <w:noProof/>
          <w:sz w:val="5"/>
          <w:szCs w:val="5"/>
          <w:bdr w:val="none" w:sz="0" w:space="0" w:color="auto" w:frame="1"/>
        </w:rPr>
        <w:drawing>
          <wp:inline distT="0" distB="0" distL="0" distR="0">
            <wp:extent cx="3811112" cy="2601173"/>
            <wp:effectExtent l="0" t="0" r="0" b="8890"/>
            <wp:docPr id="2" name="Picture 2" descr="Left: Mousterian of Acheulean Tradition hand axes, from top to bottom - cordiform hand axe from Le Moustier, France; triangular hand axe from St. Just en Chaussée, France; hand axe from Lynford, UK (Karen Ruebens). Right: Keilmessergruppen Tradition hand axes, from top to bottom - keilmesser from Sesselfesgrotte, Germany; keilmesser from Abri du Musée, France; faustkeilblatt from Königsaue, Germany (Karen Ruebens).">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eft: Mousterian of Acheulean Tradition hand axes, from top to bottom - cordiform hand axe from Le Moustier, France; triangular hand axe from St. Just en Chaussée, France; hand axe from Lynford, UK (Karen Ruebens). Right: Keilmessergruppen Tradition hand axes, from top to bottom - keilmesser from Sesselfesgrotte, Germany; keilmesser from Abri du Musée, France; faustkeilblatt from Königsaue, Germany (Karen Ruebens).">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17217" cy="2605340"/>
                    </a:xfrm>
                    <a:prstGeom prst="rect">
                      <a:avLst/>
                    </a:prstGeom>
                    <a:noFill/>
                    <a:ln>
                      <a:noFill/>
                    </a:ln>
                  </pic:spPr>
                </pic:pic>
              </a:graphicData>
            </a:graphic>
          </wp:inline>
        </w:drawing>
      </w:r>
    </w:p>
    <w:p w:rsidR="00C44134" w:rsidRPr="00C44134" w:rsidRDefault="00C44134" w:rsidP="00A46490">
      <w:pPr>
        <w:shd w:val="clear" w:color="auto" w:fill="FAF2F2"/>
        <w:spacing w:after="0" w:line="240" w:lineRule="auto"/>
        <w:jc w:val="center"/>
        <w:textAlignment w:val="baseline"/>
        <w:rPr>
          <w:rFonts w:eastAsia="Times New Roman"/>
        </w:rPr>
      </w:pPr>
      <w:r w:rsidRPr="00C44134">
        <w:rPr>
          <w:rFonts w:eastAsia="Times New Roman"/>
        </w:rPr>
        <w:t xml:space="preserve">Left: Mousterian of Acheulean Tradition </w:t>
      </w:r>
      <w:r w:rsidR="00AC2649">
        <w:rPr>
          <w:rFonts w:eastAsia="Times New Roman"/>
        </w:rPr>
        <w:t xml:space="preserve">(MTA) </w:t>
      </w:r>
      <w:r w:rsidRPr="00C44134">
        <w:rPr>
          <w:rFonts w:eastAsia="Times New Roman"/>
        </w:rPr>
        <w:t xml:space="preserve">hand axes, from top to bottom – cordiform hand axe from Le Moustier, France; triangular hand axe from St. Just </w:t>
      </w:r>
      <w:proofErr w:type="spellStart"/>
      <w:r w:rsidRPr="00C44134">
        <w:rPr>
          <w:rFonts w:eastAsia="Times New Roman"/>
        </w:rPr>
        <w:t>en</w:t>
      </w:r>
      <w:proofErr w:type="spellEnd"/>
      <w:r w:rsidRPr="00C44134">
        <w:rPr>
          <w:rFonts w:eastAsia="Times New Roman"/>
        </w:rPr>
        <w:t xml:space="preserve"> </w:t>
      </w:r>
      <w:proofErr w:type="spellStart"/>
      <w:r w:rsidRPr="00C44134">
        <w:rPr>
          <w:rFonts w:eastAsia="Times New Roman"/>
        </w:rPr>
        <w:t>Chaussée</w:t>
      </w:r>
      <w:proofErr w:type="spellEnd"/>
      <w:r w:rsidRPr="00C44134">
        <w:rPr>
          <w:rFonts w:eastAsia="Times New Roman"/>
        </w:rPr>
        <w:t xml:space="preserve">, France; hand axe from </w:t>
      </w:r>
      <w:proofErr w:type="spellStart"/>
      <w:r w:rsidRPr="00C44134">
        <w:rPr>
          <w:rFonts w:eastAsia="Times New Roman"/>
        </w:rPr>
        <w:t>Lynford</w:t>
      </w:r>
      <w:proofErr w:type="spellEnd"/>
      <w:r w:rsidRPr="00C44134">
        <w:rPr>
          <w:rFonts w:eastAsia="Times New Roman"/>
        </w:rPr>
        <w:t xml:space="preserve">, UK (Karen </w:t>
      </w:r>
      <w:proofErr w:type="spellStart"/>
      <w:r w:rsidRPr="00C44134">
        <w:rPr>
          <w:rFonts w:eastAsia="Times New Roman"/>
        </w:rPr>
        <w:t>Ruebens</w:t>
      </w:r>
      <w:proofErr w:type="spellEnd"/>
      <w:r w:rsidRPr="00C44134">
        <w:rPr>
          <w:rFonts w:eastAsia="Times New Roman"/>
        </w:rPr>
        <w:t xml:space="preserve">). Right: </w:t>
      </w:r>
      <w:proofErr w:type="spellStart"/>
      <w:r w:rsidRPr="00C44134">
        <w:rPr>
          <w:rFonts w:eastAsia="Times New Roman"/>
        </w:rPr>
        <w:t>Keilmessergruppen</w:t>
      </w:r>
      <w:proofErr w:type="spellEnd"/>
      <w:r w:rsidRPr="00C44134">
        <w:rPr>
          <w:rFonts w:eastAsia="Times New Roman"/>
        </w:rPr>
        <w:t xml:space="preserve"> Tradition hand axes, from top to bottom – </w:t>
      </w:r>
      <w:proofErr w:type="spellStart"/>
      <w:r w:rsidRPr="00C44134">
        <w:rPr>
          <w:rFonts w:eastAsia="Times New Roman"/>
        </w:rPr>
        <w:t>keilmesser</w:t>
      </w:r>
      <w:proofErr w:type="spellEnd"/>
      <w:r w:rsidRPr="00C44134">
        <w:rPr>
          <w:rFonts w:eastAsia="Times New Roman"/>
        </w:rPr>
        <w:t xml:space="preserve"> from </w:t>
      </w:r>
      <w:proofErr w:type="spellStart"/>
      <w:r w:rsidRPr="00C44134">
        <w:rPr>
          <w:rFonts w:eastAsia="Times New Roman"/>
        </w:rPr>
        <w:t>Sesselfesgrotte</w:t>
      </w:r>
      <w:proofErr w:type="spellEnd"/>
      <w:r w:rsidRPr="00C44134">
        <w:rPr>
          <w:rFonts w:eastAsia="Times New Roman"/>
        </w:rPr>
        <w:t xml:space="preserve">, Germany; </w:t>
      </w:r>
      <w:proofErr w:type="spellStart"/>
      <w:r w:rsidRPr="00C44134">
        <w:rPr>
          <w:rFonts w:eastAsia="Times New Roman"/>
        </w:rPr>
        <w:t>keilmesser</w:t>
      </w:r>
      <w:proofErr w:type="spellEnd"/>
      <w:r w:rsidRPr="00C44134">
        <w:rPr>
          <w:rFonts w:eastAsia="Times New Roman"/>
        </w:rPr>
        <w:t xml:space="preserve"> from Abri du </w:t>
      </w:r>
      <w:proofErr w:type="spellStart"/>
      <w:r w:rsidRPr="00C44134">
        <w:rPr>
          <w:rFonts w:eastAsia="Times New Roman"/>
        </w:rPr>
        <w:t>Musée</w:t>
      </w:r>
      <w:proofErr w:type="spellEnd"/>
      <w:r w:rsidRPr="00C44134">
        <w:rPr>
          <w:rFonts w:eastAsia="Times New Roman"/>
        </w:rPr>
        <w:t xml:space="preserve">, France; </w:t>
      </w:r>
      <w:proofErr w:type="spellStart"/>
      <w:r w:rsidRPr="00C44134">
        <w:rPr>
          <w:rFonts w:eastAsia="Times New Roman"/>
        </w:rPr>
        <w:t>faustkeilblatt</w:t>
      </w:r>
      <w:proofErr w:type="spellEnd"/>
      <w:r w:rsidRPr="00C44134">
        <w:rPr>
          <w:rFonts w:eastAsia="Times New Roman"/>
        </w:rPr>
        <w:t xml:space="preserve"> from </w:t>
      </w:r>
      <w:proofErr w:type="spellStart"/>
      <w:r w:rsidRPr="00C44134">
        <w:rPr>
          <w:rFonts w:eastAsia="Times New Roman"/>
        </w:rPr>
        <w:t>Königsaue</w:t>
      </w:r>
      <w:proofErr w:type="spellEnd"/>
      <w:r w:rsidRPr="00C44134">
        <w:rPr>
          <w:rFonts w:eastAsia="Times New Roman"/>
        </w:rPr>
        <w:t xml:space="preserve">, Germany (Karen </w:t>
      </w:r>
      <w:proofErr w:type="spellStart"/>
      <w:r w:rsidRPr="00C44134">
        <w:rPr>
          <w:rFonts w:eastAsia="Times New Roman"/>
        </w:rPr>
        <w:t>Ruebens</w:t>
      </w:r>
      <w:proofErr w:type="spellEnd"/>
      <w:r w:rsidRPr="00C44134">
        <w:rPr>
          <w:rFonts w:eastAsia="Times New Roman"/>
        </w:rPr>
        <w:t>).</w:t>
      </w:r>
    </w:p>
    <w:p w:rsidR="00C44134" w:rsidRPr="00C44134" w:rsidRDefault="00C44134" w:rsidP="00A46490">
      <w:pPr>
        <w:shd w:val="clear" w:color="auto" w:fill="FFFFFF"/>
        <w:spacing w:after="0" w:line="240" w:lineRule="auto"/>
        <w:textAlignment w:val="baseline"/>
        <w:rPr>
          <w:rFonts w:eastAsia="Times New Roman"/>
        </w:rPr>
      </w:pPr>
      <w:r w:rsidRPr="00C44134">
        <w:rPr>
          <w:rFonts w:eastAsia="Times New Roman"/>
        </w:rPr>
        <w:t xml:space="preserve">“Distinct ways of making a hand axe were passed on from generation to generation and for long enough to become visible in the archaeological record. This indicates a strong mechanism of social learning within these two groups and says something about the stability and connectivity of the Neanderthal populations,” </w:t>
      </w:r>
      <w:proofErr w:type="spellStart"/>
      <w:r w:rsidRPr="00C44134">
        <w:rPr>
          <w:rFonts w:eastAsia="Times New Roman"/>
        </w:rPr>
        <w:t>Dr</w:t>
      </w:r>
      <w:proofErr w:type="spellEnd"/>
      <w:r w:rsidRPr="00C44134">
        <w:rPr>
          <w:rFonts w:eastAsia="Times New Roman"/>
        </w:rPr>
        <w:t xml:space="preserve"> </w:t>
      </w:r>
      <w:proofErr w:type="spellStart"/>
      <w:r w:rsidRPr="00C44134">
        <w:rPr>
          <w:rFonts w:eastAsia="Times New Roman"/>
        </w:rPr>
        <w:t>Ruebens</w:t>
      </w:r>
      <w:proofErr w:type="spellEnd"/>
      <w:r w:rsidRPr="00C44134">
        <w:rPr>
          <w:rFonts w:eastAsia="Times New Roman"/>
        </w:rPr>
        <w:t xml:space="preserve"> said.</w:t>
      </w:r>
      <w:r w:rsidR="00A46490">
        <w:rPr>
          <w:rFonts w:eastAsia="Times New Roman"/>
        </w:rPr>
        <w:t xml:space="preserve"> </w:t>
      </w:r>
      <w:r w:rsidRPr="00C44134">
        <w:rPr>
          <w:rFonts w:eastAsia="Times New Roman"/>
        </w:rPr>
        <w:t>“Making stone tools was not merely an opportunistic task. A lot of time, effort and tradition were invested and these tools carry a certain amount of socio-cultural information, which does not contribute directly to their function.”</w:t>
      </w:r>
      <w:r w:rsidR="00A46490">
        <w:rPr>
          <w:rFonts w:eastAsia="Times New Roman"/>
        </w:rPr>
        <w:t xml:space="preserve"> </w:t>
      </w:r>
      <w:r w:rsidRPr="00C44134">
        <w:rPr>
          <w:rFonts w:eastAsia="Times New Roman"/>
        </w:rPr>
        <w:t>The analysis also reveals other factors which could have influenced hand axe design, such as raw material availability to Neanderthals, the function of their sites, or the repeate</w:t>
      </w:r>
      <w:r w:rsidR="00A46490">
        <w:rPr>
          <w:rFonts w:eastAsia="Times New Roman"/>
        </w:rPr>
        <w:t>d reuse and sharpening of tools</w:t>
      </w:r>
      <w:r w:rsidR="00AC2649">
        <w:rPr>
          <w:rFonts w:eastAsia="Times New Roman"/>
        </w:rPr>
        <w:t>.</w:t>
      </w:r>
      <w:r w:rsidR="00A46490">
        <w:rPr>
          <w:rFonts w:eastAsia="Times New Roman"/>
        </w:rPr>
        <w:t xml:space="preserve"> </w:t>
      </w:r>
      <w:r w:rsidRPr="00C44134">
        <w:rPr>
          <w:rFonts w:eastAsia="Times New Roman"/>
        </w:rPr>
        <w:t xml:space="preserve">The study adds a new archaeological perspective on Neanderthal </w:t>
      </w:r>
      <w:proofErr w:type="spellStart"/>
      <w:r w:rsidRPr="00C44134">
        <w:rPr>
          <w:rFonts w:eastAsia="Times New Roman"/>
        </w:rPr>
        <w:t>regionality</w:t>
      </w:r>
      <w:proofErr w:type="spellEnd"/>
      <w:r w:rsidRPr="00C44134">
        <w:rPr>
          <w:rFonts w:eastAsia="Times New Roman"/>
        </w:rPr>
        <w:t>, which is a concept also identified in studies of their skeletal and genetic features.</w:t>
      </w:r>
    </w:p>
    <w:p w:rsidR="00C44134" w:rsidRPr="00C44134" w:rsidRDefault="00C44134" w:rsidP="00C44134">
      <w:pPr>
        <w:shd w:val="clear" w:color="auto" w:fill="FFFFFF"/>
        <w:spacing w:after="0" w:line="240" w:lineRule="auto"/>
        <w:textAlignment w:val="baseline"/>
        <w:rPr>
          <w:rFonts w:eastAsia="Times New Roman"/>
        </w:rPr>
      </w:pPr>
      <w:r w:rsidRPr="00C44134">
        <w:rPr>
          <w:rFonts w:eastAsia="Times New Roman"/>
          <w:bdr w:val="none" w:sz="0" w:space="0" w:color="auto" w:frame="1"/>
        </w:rPr>
        <w:t>______</w:t>
      </w:r>
    </w:p>
    <w:p w:rsidR="00DF3F99" w:rsidRPr="00396D80" w:rsidRDefault="00DF3F99" w:rsidP="00DF3F99">
      <w:r w:rsidRPr="00396D80">
        <w:rPr>
          <w:b/>
          <w:bCs/>
        </w:rPr>
        <w:t>References:</w:t>
      </w:r>
    </w:p>
    <w:p w:rsidR="00396D80" w:rsidRPr="00C44134" w:rsidRDefault="00396D80" w:rsidP="00396D80">
      <w:pPr>
        <w:shd w:val="clear" w:color="auto" w:fill="FFFFFF"/>
        <w:spacing w:after="0" w:line="240" w:lineRule="auto"/>
        <w:textAlignment w:val="baseline"/>
        <w:rPr>
          <w:rFonts w:eastAsia="Times New Roman"/>
        </w:rPr>
      </w:pPr>
      <w:r w:rsidRPr="00C44134">
        <w:rPr>
          <w:rFonts w:eastAsia="Times New Roman"/>
          <w:bdr w:val="none" w:sz="0" w:space="0" w:color="auto" w:frame="1"/>
        </w:rPr>
        <w:t>Rueben</w:t>
      </w:r>
      <w:r w:rsidR="006E118A">
        <w:rPr>
          <w:rFonts w:eastAsia="Times New Roman"/>
          <w:bdr w:val="none" w:sz="0" w:space="0" w:color="auto" w:frame="1"/>
        </w:rPr>
        <w:t xml:space="preserve">, </w:t>
      </w:r>
      <w:r w:rsidR="006E118A" w:rsidRPr="00C44134">
        <w:rPr>
          <w:rFonts w:eastAsia="Times New Roman"/>
          <w:bdr w:val="none" w:sz="0" w:space="0" w:color="auto" w:frame="1"/>
        </w:rPr>
        <w:t>Karen</w:t>
      </w:r>
      <w:r w:rsidRPr="00C44134">
        <w:rPr>
          <w:rFonts w:eastAsia="Times New Roman"/>
          <w:bdr w:val="none" w:sz="0" w:space="0" w:color="auto" w:frame="1"/>
        </w:rPr>
        <w:t xml:space="preserve">. </w:t>
      </w:r>
      <w:r w:rsidR="006E118A">
        <w:rPr>
          <w:rFonts w:eastAsia="Times New Roman"/>
          <w:bdr w:val="none" w:sz="0" w:space="0" w:color="auto" w:frame="1"/>
        </w:rPr>
        <w:t>2013. “</w:t>
      </w:r>
      <w:r w:rsidRPr="00C44134">
        <w:rPr>
          <w:rFonts w:eastAsia="Times New Roman"/>
          <w:bdr w:val="none" w:sz="0" w:space="0" w:color="auto" w:frame="1"/>
        </w:rPr>
        <w:t xml:space="preserve">Regional </w:t>
      </w:r>
      <w:proofErr w:type="spellStart"/>
      <w:r w:rsidRPr="00C44134">
        <w:rPr>
          <w:rFonts w:eastAsia="Times New Roman"/>
          <w:bdr w:val="none" w:sz="0" w:space="0" w:color="auto" w:frame="1"/>
        </w:rPr>
        <w:t>behaviour</w:t>
      </w:r>
      <w:proofErr w:type="spellEnd"/>
      <w:r w:rsidRPr="00C44134">
        <w:rPr>
          <w:rFonts w:eastAsia="Times New Roman"/>
          <w:bdr w:val="none" w:sz="0" w:space="0" w:color="auto" w:frame="1"/>
        </w:rPr>
        <w:t xml:space="preserve"> among late Neanderthal groups in Western Europe: A comparative assessment of late Middle </w:t>
      </w:r>
      <w:proofErr w:type="spellStart"/>
      <w:r w:rsidRPr="00C44134">
        <w:rPr>
          <w:rFonts w:eastAsia="Times New Roman"/>
          <w:bdr w:val="none" w:sz="0" w:space="0" w:color="auto" w:frame="1"/>
        </w:rPr>
        <w:t>Palaeolithic</w:t>
      </w:r>
      <w:proofErr w:type="spellEnd"/>
      <w:r w:rsidRPr="00C44134">
        <w:rPr>
          <w:rFonts w:eastAsia="Times New Roman"/>
          <w:bdr w:val="none" w:sz="0" w:space="0" w:color="auto" w:frame="1"/>
        </w:rPr>
        <w:t xml:space="preserve"> bifacial tool variability</w:t>
      </w:r>
      <w:r w:rsidR="006E118A">
        <w:rPr>
          <w:rFonts w:eastAsia="Times New Roman"/>
          <w:bdr w:val="none" w:sz="0" w:space="0" w:color="auto" w:frame="1"/>
        </w:rPr>
        <w:t>,”</w:t>
      </w:r>
      <w:r w:rsidRPr="00C44134">
        <w:rPr>
          <w:rFonts w:eastAsia="Times New Roman"/>
          <w:bdr w:val="none" w:sz="0" w:space="0" w:color="auto" w:frame="1"/>
        </w:rPr>
        <w:t> </w:t>
      </w:r>
      <w:r w:rsidRPr="00396D80">
        <w:rPr>
          <w:rFonts w:eastAsia="Times New Roman"/>
          <w:i/>
          <w:iCs/>
          <w:bdr w:val="none" w:sz="0" w:space="0" w:color="auto" w:frame="1"/>
        </w:rPr>
        <w:t>Journal of Human Evolution</w:t>
      </w:r>
      <w:r w:rsidRPr="00C44134">
        <w:rPr>
          <w:rFonts w:eastAsia="Times New Roman"/>
          <w:bdr w:val="none" w:sz="0" w:space="0" w:color="auto" w:frame="1"/>
        </w:rPr>
        <w:t xml:space="preserve">, published online August 6, 2013; </w:t>
      </w:r>
      <w:proofErr w:type="spellStart"/>
      <w:r w:rsidRPr="00C44134">
        <w:rPr>
          <w:rFonts w:eastAsia="Times New Roman"/>
          <w:bdr w:val="none" w:sz="0" w:space="0" w:color="auto" w:frame="1"/>
        </w:rPr>
        <w:t>doi</w:t>
      </w:r>
      <w:proofErr w:type="spellEnd"/>
      <w:r w:rsidRPr="00C44134">
        <w:rPr>
          <w:rFonts w:eastAsia="Times New Roman"/>
          <w:bdr w:val="none" w:sz="0" w:space="0" w:color="auto" w:frame="1"/>
        </w:rPr>
        <w:t>: 10.1016/j.jhevol.2013.06.009</w:t>
      </w:r>
    </w:p>
    <w:p w:rsidR="00396D80" w:rsidRPr="00396D80" w:rsidRDefault="00396D80" w:rsidP="00396D80">
      <w:pPr>
        <w:rPr>
          <w:b/>
          <w:bCs/>
        </w:rPr>
      </w:pPr>
    </w:p>
    <w:p w:rsidR="00DF3F99" w:rsidRPr="00396D80" w:rsidRDefault="00DF3F99">
      <w:pPr>
        <w:rPr>
          <w:noProof/>
        </w:rPr>
      </w:pPr>
    </w:p>
    <w:p w:rsidR="00875F59" w:rsidRPr="00396D80" w:rsidRDefault="00875F59"/>
    <w:p w:rsidR="00875F59" w:rsidRPr="00396D80" w:rsidRDefault="00875F59"/>
    <w:p w:rsidR="00875F59" w:rsidRPr="00396D80" w:rsidRDefault="00875F59"/>
    <w:sectPr w:rsidR="00875F59" w:rsidRPr="00396D80" w:rsidSect="00A4649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4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100A"/>
    <w:rsid w:val="002D6D49"/>
    <w:rsid w:val="00396D80"/>
    <w:rsid w:val="00463BF2"/>
    <w:rsid w:val="005477FC"/>
    <w:rsid w:val="006D5EDF"/>
    <w:rsid w:val="006E118A"/>
    <w:rsid w:val="007A7D9A"/>
    <w:rsid w:val="00875F59"/>
    <w:rsid w:val="00903D84"/>
    <w:rsid w:val="00A46490"/>
    <w:rsid w:val="00AC2649"/>
    <w:rsid w:val="00C1100A"/>
    <w:rsid w:val="00C1405B"/>
    <w:rsid w:val="00C44134"/>
    <w:rsid w:val="00CC2ED0"/>
    <w:rsid w:val="00D468CD"/>
    <w:rsid w:val="00DF3F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DC584C"/>
  <w15:chartTrackingRefBased/>
  <w15:docId w15:val="{6D4E8266-F339-46BA-8D7A-4F3D51DB4E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color w:val="000000" w:themeColor="text1"/>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C2ED0"/>
    <w:pPr>
      <w:spacing w:before="100" w:beforeAutospacing="1" w:after="100" w:afterAutospacing="1" w:line="240" w:lineRule="auto"/>
      <w:outlineLvl w:val="0"/>
    </w:pPr>
    <w:rPr>
      <w:rFonts w:eastAsia="Times New Roman"/>
      <w:b/>
      <w:bCs/>
      <w:color w:val="auto"/>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uiPriority w:val="22"/>
    <w:qFormat/>
    <w:rsid w:val="00DF3F99"/>
    <w:rPr>
      <w:b/>
      <w:bCs/>
    </w:rPr>
  </w:style>
  <w:style w:type="paragraph" w:styleId="NormalWeb">
    <w:name w:val="Normal (Web)"/>
    <w:basedOn w:val="Normal"/>
    <w:uiPriority w:val="99"/>
    <w:semiHidden/>
    <w:unhideWhenUsed/>
    <w:rsid w:val="00C44134"/>
    <w:pPr>
      <w:spacing w:before="100" w:beforeAutospacing="1" w:after="100" w:afterAutospacing="1" w:line="240" w:lineRule="auto"/>
    </w:pPr>
    <w:rPr>
      <w:rFonts w:eastAsia="Times New Roman"/>
      <w:color w:val="auto"/>
    </w:rPr>
  </w:style>
  <w:style w:type="character" w:styleId="Hyperlink">
    <w:name w:val="Hyperlink"/>
    <w:basedOn w:val="DefaultParagraphFont"/>
    <w:uiPriority w:val="99"/>
    <w:semiHidden/>
    <w:unhideWhenUsed/>
    <w:rsid w:val="00C44134"/>
    <w:rPr>
      <w:color w:val="0000FF"/>
      <w:u w:val="single"/>
    </w:rPr>
  </w:style>
  <w:style w:type="character" w:styleId="Emphasis">
    <w:name w:val="Emphasis"/>
    <w:basedOn w:val="DefaultParagraphFont"/>
    <w:uiPriority w:val="20"/>
    <w:qFormat/>
    <w:rsid w:val="00C44134"/>
    <w:rPr>
      <w:i/>
      <w:iCs/>
    </w:rPr>
  </w:style>
  <w:style w:type="paragraph" w:customStyle="1" w:styleId="wp-caption-text">
    <w:name w:val="wp-caption-text"/>
    <w:basedOn w:val="Normal"/>
    <w:rsid w:val="00C44134"/>
    <w:pPr>
      <w:spacing w:before="100" w:beforeAutospacing="1" w:after="100" w:afterAutospacing="1" w:line="240" w:lineRule="auto"/>
    </w:pPr>
    <w:rPr>
      <w:rFonts w:eastAsia="Times New Roman"/>
      <w:color w:val="auto"/>
    </w:rPr>
  </w:style>
  <w:style w:type="character" w:customStyle="1" w:styleId="Heading1Char">
    <w:name w:val="Heading 1 Char"/>
    <w:basedOn w:val="DefaultParagraphFont"/>
    <w:link w:val="Heading1"/>
    <w:uiPriority w:val="9"/>
    <w:rsid w:val="00CC2ED0"/>
    <w:rPr>
      <w:rFonts w:eastAsia="Times New Roman"/>
      <w:b/>
      <w:bCs/>
      <w:color w:val="auto"/>
      <w:kern w:val="36"/>
      <w:sz w:val="48"/>
      <w:szCs w:val="48"/>
    </w:rPr>
  </w:style>
  <w:style w:type="character" w:customStyle="1" w:styleId="productprice">
    <w:name w:val="productprice"/>
    <w:basedOn w:val="DefaultParagraphFont"/>
    <w:rsid w:val="00CC2ED0"/>
  </w:style>
  <w:style w:type="paragraph" w:styleId="HTMLPreformatted">
    <w:name w:val="HTML Preformatted"/>
    <w:basedOn w:val="Normal"/>
    <w:link w:val="HTMLPreformattedChar"/>
    <w:uiPriority w:val="99"/>
    <w:unhideWhenUsed/>
    <w:rsid w:val="00396D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rsid w:val="00396D80"/>
    <w:rPr>
      <w:rFonts w:ascii="Courier New" w:eastAsia="Times New Roman" w:hAnsi="Courier New" w:cs="Courier New"/>
      <w:color w:val="auto"/>
      <w:sz w:val="20"/>
      <w:szCs w:val="20"/>
    </w:rPr>
  </w:style>
  <w:style w:type="character" w:customStyle="1" w:styleId="h-geo">
    <w:name w:val="h-geo"/>
    <w:basedOn w:val="DefaultParagraphFont"/>
    <w:rsid w:val="00A464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879404">
      <w:bodyDiv w:val="1"/>
      <w:marLeft w:val="0"/>
      <w:marRight w:val="0"/>
      <w:marTop w:val="0"/>
      <w:marBottom w:val="0"/>
      <w:divBdr>
        <w:top w:val="none" w:sz="0" w:space="0" w:color="auto"/>
        <w:left w:val="none" w:sz="0" w:space="0" w:color="auto"/>
        <w:bottom w:val="none" w:sz="0" w:space="0" w:color="auto"/>
        <w:right w:val="none" w:sz="0" w:space="0" w:color="auto"/>
      </w:divBdr>
    </w:div>
    <w:div w:id="330375224">
      <w:bodyDiv w:val="1"/>
      <w:marLeft w:val="0"/>
      <w:marRight w:val="0"/>
      <w:marTop w:val="0"/>
      <w:marBottom w:val="0"/>
      <w:divBdr>
        <w:top w:val="none" w:sz="0" w:space="0" w:color="auto"/>
        <w:left w:val="none" w:sz="0" w:space="0" w:color="auto"/>
        <w:bottom w:val="none" w:sz="0" w:space="0" w:color="auto"/>
        <w:right w:val="none" w:sz="0" w:space="0" w:color="auto"/>
      </w:divBdr>
    </w:div>
    <w:div w:id="363747067">
      <w:bodyDiv w:val="1"/>
      <w:marLeft w:val="0"/>
      <w:marRight w:val="0"/>
      <w:marTop w:val="0"/>
      <w:marBottom w:val="0"/>
      <w:divBdr>
        <w:top w:val="none" w:sz="0" w:space="0" w:color="auto"/>
        <w:left w:val="none" w:sz="0" w:space="0" w:color="auto"/>
        <w:bottom w:val="none" w:sz="0" w:space="0" w:color="auto"/>
        <w:right w:val="none" w:sz="0" w:space="0" w:color="auto"/>
      </w:divBdr>
    </w:div>
    <w:div w:id="1406340998">
      <w:bodyDiv w:val="1"/>
      <w:marLeft w:val="0"/>
      <w:marRight w:val="0"/>
      <w:marTop w:val="0"/>
      <w:marBottom w:val="0"/>
      <w:divBdr>
        <w:top w:val="none" w:sz="0" w:space="0" w:color="auto"/>
        <w:left w:val="none" w:sz="0" w:space="0" w:color="auto"/>
        <w:bottom w:val="none" w:sz="0" w:space="0" w:color="auto"/>
        <w:right w:val="none" w:sz="0" w:space="0" w:color="auto"/>
      </w:divBdr>
      <w:divsChild>
        <w:div w:id="1919513236">
          <w:marLeft w:val="0"/>
          <w:marRight w:val="0"/>
          <w:marTop w:val="0"/>
          <w:marBottom w:val="150"/>
          <w:divBdr>
            <w:top w:val="single" w:sz="6" w:space="0" w:color="E0E0E0"/>
            <w:left w:val="single" w:sz="6" w:space="0" w:color="E0E0E0"/>
            <w:bottom w:val="single" w:sz="6" w:space="0" w:color="E0E0E0"/>
            <w:right w:val="single" w:sz="6" w:space="0" w:color="E0E0E0"/>
          </w:divBdr>
        </w:div>
      </w:divsChild>
    </w:div>
    <w:div w:id="2082674862">
      <w:bodyDiv w:val="1"/>
      <w:marLeft w:val="0"/>
      <w:marRight w:val="0"/>
      <w:marTop w:val="0"/>
      <w:marBottom w:val="0"/>
      <w:divBdr>
        <w:top w:val="none" w:sz="0" w:space="0" w:color="auto"/>
        <w:left w:val="none" w:sz="0" w:space="0" w:color="auto"/>
        <w:bottom w:val="none" w:sz="0" w:space="0" w:color="auto"/>
        <w:right w:val="none" w:sz="0" w:space="0" w:color="auto"/>
      </w:divBdr>
      <w:divsChild>
        <w:div w:id="807404894">
          <w:marLeft w:val="0"/>
          <w:marRight w:val="0"/>
          <w:marTop w:val="0"/>
          <w:marBottom w:val="0"/>
          <w:divBdr>
            <w:top w:val="none" w:sz="0" w:space="0" w:color="auto"/>
            <w:left w:val="none" w:sz="0" w:space="0" w:color="auto"/>
            <w:bottom w:val="none" w:sz="0" w:space="0" w:color="auto"/>
            <w:right w:val="none" w:sz="0" w:space="0" w:color="auto"/>
          </w:divBdr>
        </w:div>
        <w:div w:id="1260672656">
          <w:marLeft w:val="0"/>
          <w:marRight w:val="0"/>
          <w:marTop w:val="0"/>
          <w:marBottom w:val="0"/>
          <w:divBdr>
            <w:top w:val="none" w:sz="0" w:space="0" w:color="auto"/>
            <w:left w:val="none" w:sz="0" w:space="0" w:color="auto"/>
            <w:bottom w:val="none" w:sz="0" w:space="0" w:color="auto"/>
            <w:right w:val="none" w:sz="0" w:space="0" w:color="auto"/>
          </w:divBdr>
          <w:divsChild>
            <w:div w:id="197875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ciencedirect.com/science/article/pii/S0047248413001474" TargetMode="External"/><Relationship Id="rId3" Type="http://schemas.openxmlformats.org/officeDocument/2006/relationships/webSettings" Target="webSettings.xml"/><Relationship Id="rId7" Type="http://schemas.openxmlformats.org/officeDocument/2006/relationships/hyperlink" Target="https://translate.googleusercontent.com/translate_c?depth=1&amp;hl=en&amp;prev=search&amp;rurl=translate.google.com&amp;sl=fr&amp;sp=nmt4&amp;u=http://tools.wmflabs.org/geohack/geohack.php%3Flanguage%3Dfr%26pagename%3DMus%25C3%25A9e_de_la_Pr%25C3%25A9histoire_du_Grand-Pressigny%26params%3D46.921809_N_0.803508_E_type:landmark_region:FR&amp;usg=ALkJrhgTi55y0QOKYbuJSjEaIs86gAUBfA"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translate.googleusercontent.com/translate_c?depth=1&amp;hl=en&amp;prev=search&amp;rurl=translate.google.com&amp;sl=fr&amp;sp=nmt4&amp;u=http://tools.wmflabs.org/geohack/geohack.php%3Flanguage%3Dfr%26pagename%3DMus%25C3%25A9e_de_la_Pr%25C3%25A9histoire_du_Grand-Pressigny%26params%3D46.921809_N_0.803508_E_type:landmark_region:FR&amp;usg=ALkJrhgTi55y0QOKYbuJSjEaIs86gAUBfA" TargetMode="External"/><Relationship Id="rId11" Type="http://schemas.openxmlformats.org/officeDocument/2006/relationships/fontTable" Target="fontTable.xml"/><Relationship Id="rId5" Type="http://schemas.openxmlformats.org/officeDocument/2006/relationships/hyperlink" Target="https://translate.googleusercontent.com/translate_c?depth=1&amp;hl=en&amp;prev=search&amp;rurl=translate.google.com&amp;sl=fr&amp;sp=nmt4&amp;u=http://tools.wmflabs.org/geohack/geohack.php%3Flanguage%3Dfr%26pagename%3DMus%25C3%25A9e_de_la_Pr%25C3%25A9histoire_du_Grand-Pressigny%26params%3D46.921809_N_0.803508_E_type:landmark_region:FR&amp;usg=ALkJrhgTi55y0QOKYbuJSjEaIs86gAUBfA" TargetMode="External"/><Relationship Id="rId10" Type="http://schemas.openxmlformats.org/officeDocument/2006/relationships/image" Target="media/image2.jpeg"/><Relationship Id="rId4" Type="http://schemas.openxmlformats.org/officeDocument/2006/relationships/image" Target="media/image1.png"/><Relationship Id="rId9" Type="http://schemas.openxmlformats.org/officeDocument/2006/relationships/hyperlink" Target="http://cdn.sci-news.com/images/enlarge/image_1322_2e-Neanderthals.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889</Words>
  <Characters>5069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Ralph Coffman</dc:creator>
  <cp:keywords/>
  <dc:description/>
  <cp:lastModifiedBy>murcott</cp:lastModifiedBy>
  <cp:revision>2</cp:revision>
  <dcterms:created xsi:type="dcterms:W3CDTF">2018-11-18T20:05:00Z</dcterms:created>
  <dcterms:modified xsi:type="dcterms:W3CDTF">2018-11-18T20:05:00Z</dcterms:modified>
</cp:coreProperties>
</file>