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Segoe U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Applestylespan">
    <w:name w:val="apple-style-span"/>
    <w:basedOn w:val="DefaultParagraphFont"/>
    <w:qFormat/>
    <w:rPr/>
  </w:style>
  <w:style w:type="character" w:styleId="BalloonTextChar">
    <w:name w:val="Balloon Text Char"/>
    <w:qFormat/>
    <w:rPr>
      <w:rFonts w:ascii="Segoe UI" w:hAnsi="Segoe UI" w:cs="Segoe UI"/>
      <w:sz w:val="18"/>
      <w:szCs w:val="18"/>
      <w:lang w:eastAsia="zh-CN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2018-11-18T15:08:00Z</dcterms:created>
  <dc:creator>USER</dc:creator>
  <dc:description/>
  <cp:keywords/>
  <dc:language>en-US</dc:language>
  <cp:lastModifiedBy>murcott</cp:lastModifiedBy>
  <cp:lastPrinted>2018-06-20T09:14:00Z</cp:lastPrinted>
  <dcterms:modified xsi:type="dcterms:W3CDTF">2018-11-27T11:35:00Z</dcterms:modified>
  <cp:revision>3</cp:revision>
  <dc:subject/>
  <dc:title>DIS-Paleo-EUR-FR-Paris Basin Middle Paleolithic-Mousterian type of debitage-Levallois method</dc:title>
</cp:coreProperties>
</file>