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Cs/>
        </w:rPr>
      </w:pPr>
      <w:r>
        <w:rPr>
          <w:bCs/>
        </w:rPr>
        <w:t>NEW A155 Dis-Eur-Austria-Willendorf-Figurine-Venus-</w:t>
      </w:r>
      <w:r>
        <w:rPr>
          <w:bCs/>
          <w:color w:val="000000"/>
          <w:shd w:fill="FFFFFF" w:val="clear"/>
        </w:rPr>
        <w:t>30,000 BP</w:t>
      </w:r>
    </w:p>
    <w:p>
      <w:pPr>
        <w:pStyle w:val="Normal"/>
        <w:rPr>
          <w:bCs/>
        </w:rPr>
      </w:pPr>
      <w:r>
        <w:rPr>
          <w:bCs/>
        </w:rPr>
        <w:drawing>
          <wp:inline distT="0" distB="0" distL="0" distR="0">
            <wp:extent cx="2073910" cy="397510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3" t="-7" r="-13" b="-7"/>
                    <a:stretch>
                      <a:fillRect/>
                    </a:stretch>
                  </pic:blipFill>
                  <pic:spPr bwMode="auto">
                    <a:xfrm>
                      <a:off x="0" y="0"/>
                      <a:ext cx="2073910" cy="3975100"/>
                    </a:xfrm>
                    <a:prstGeom prst="rect">
                      <a:avLst/>
                    </a:prstGeom>
                  </pic:spPr>
                </pic:pic>
              </a:graphicData>
            </a:graphic>
          </wp:inline>
        </w:drawing>
      </w:r>
    </w:p>
    <w:p>
      <w:pPr>
        <w:pStyle w:val="Heading3"/>
        <w:rPr>
          <w:b w:val="false"/>
          <w:b w:val="false"/>
          <w:sz w:val="24"/>
        </w:rPr>
      </w:pPr>
      <w:r>
        <w:rPr>
          <w:b w:val="false"/>
          <w:sz w:val="24"/>
        </w:rPr>
        <w:t>Fig. 1. The Venus of Willendorf, original in the Naturhistorisches Museum, Vienna</w:t>
      </w:r>
    </w:p>
    <w:p>
      <w:pPr>
        <w:pStyle w:val="Normal"/>
        <w:rPr>
          <w:bCs/>
          <w:color w:val="000000"/>
          <w:highlight w:val="white"/>
        </w:rPr>
      </w:pPr>
      <w:r>
        <w:rPr>
          <w:rStyle w:val="StrongEmphasis"/>
        </w:rPr>
        <w:t>Formal Label</w:t>
      </w:r>
      <w:r>
        <w:rPr>
          <w:rStyle w:val="StrongEmphasis"/>
          <w:b w:val="false"/>
        </w:rPr>
        <w:t xml:space="preserve">: </w:t>
      </w:r>
      <w:r>
        <w:rPr>
          <w:bCs/>
        </w:rPr>
        <w:t>Austria-Willendorf-Figurine-Venus</w:t>
      </w:r>
      <w:r>
        <w:rPr>
          <w:bCs/>
          <w:color w:val="000000"/>
          <w:shd w:fill="FFFFFF" w:val="clear"/>
        </w:rPr>
        <w:t>-30,000 BP -27,000 BP</w:t>
      </w:r>
    </w:p>
    <w:p>
      <w:pPr>
        <w:pStyle w:val="Normal"/>
        <w:rPr>
          <w:rStyle w:val="StrongEmphasis"/>
          <w:b w:val="false"/>
          <w:b w:val="false"/>
          <w:color w:val="000000"/>
          <w:highlight w:val="white"/>
        </w:rPr>
      </w:pPr>
      <w:r>
        <w:rPr>
          <w:b/>
          <w:bCs/>
          <w:color w:val="000000"/>
          <w:shd w:fill="FFFFFF" w:val="clear"/>
        </w:rPr>
        <w:t>Display Description:</w:t>
      </w:r>
      <w:r>
        <w:rPr>
          <w:bCs/>
          <w:color w:val="000000"/>
          <w:shd w:fill="FFFFFF" w:val="clear"/>
        </w:rPr>
        <w:t xml:space="preserve"> </w:t>
      </w:r>
      <w:r>
        <w:rPr>
          <w:bCs/>
        </w:rPr>
        <w:t xml:space="preserve">The Venus of Willendorf (now re-named the “Woman” of Willendorf) is among the most famous archeological finds in the world. </w:t>
      </w:r>
      <w:r>
        <w:rPr/>
        <w:t>It was found in 1908 by a workman named Johann Veran or Josef Veram during excavations conducted by archaeologists Josef Szombathy, Hugo Obermaier and Josef Bayer at a paleolithic site near Willendorf, a village in Lower Austria. It is carved from an oolitic limestone that is not local to the area, and tinted with red ochre.</w:t>
      </w:r>
      <w:r>
        <w:rPr>
          <w:bCs/>
          <w:color w:val="000000"/>
          <w:shd w:fill="FFFFFF" w:val="clear"/>
        </w:rPr>
        <w:t xml:space="preserve"> It depicts a corpulent female figure with pendulous breasts, an obese middle and belly, pronounced buttocks, and vulva. The only article of clothing is a braided net that almost totally covers her head. There is no facial detail. Corpulence is presumed rare in the Upper Paleolithic when food was scarce. For reasons to protect childbirth in this challenging climate only this individual’s corpulence was deemed worth ritualizing as a symbol of a successful fertility strategy.</w:t>
      </w:r>
    </w:p>
    <w:p>
      <w:pPr>
        <w:pStyle w:val="Normal"/>
        <w:rPr>
          <w:bCs/>
        </w:rPr>
      </w:pPr>
      <w:r>
        <w:rPr>
          <w:rStyle w:val="StrongEmphasis"/>
        </w:rPr>
        <w:t>Accession Number:</w:t>
      </w:r>
      <w:r>
        <w:rPr>
          <w:bCs/>
        </w:rPr>
        <w:t xml:space="preserve"> A155</w:t>
      </w:r>
    </w:p>
    <w:p>
      <w:pPr>
        <w:pStyle w:val="Normal"/>
        <w:rPr>
          <w:b/>
          <w:b/>
          <w:bCs/>
        </w:rPr>
      </w:pPr>
      <w:r>
        <w:rPr>
          <w:b/>
          <w:bCs/>
        </w:rPr>
        <w:t xml:space="preserve">LC Classification: </w:t>
      </w:r>
      <w:r>
        <w:rPr/>
        <w:t>GN772.2.A8</w:t>
      </w:r>
    </w:p>
    <w:p>
      <w:pPr>
        <w:pStyle w:val="Normal"/>
        <w:rPr>
          <w:bCs/>
        </w:rPr>
      </w:pPr>
      <w:r>
        <w:rPr>
          <w:rStyle w:val="StrongEmphasis"/>
        </w:rPr>
        <w:t>Date or Time Horizon:</w:t>
      </w:r>
      <w:r>
        <w:rPr>
          <w:bCs/>
        </w:rPr>
        <w:t xml:space="preserve"> </w:t>
      </w:r>
      <w:r>
        <w:rPr>
          <w:bCs/>
          <w:color w:val="000000"/>
          <w:shd w:fill="FFFFFF" w:val="clear"/>
        </w:rPr>
        <w:t>30,000 BP -27,000 BP</w:t>
      </w:r>
    </w:p>
    <w:p>
      <w:pPr>
        <w:pStyle w:val="Normal"/>
        <w:rPr>
          <w:bCs/>
        </w:rPr>
      </w:pPr>
      <w:r>
        <w:rPr>
          <w:rStyle w:val="StrongEmphasis"/>
        </w:rPr>
        <w:t>Geographical Area:</w:t>
      </w:r>
      <w:r>
        <w:rPr>
          <w:bCs/>
        </w:rPr>
        <w:t xml:space="preserve"> </w:t>
      </w:r>
      <w:r>
        <w:rPr/>
        <w:t>Aurignacian loess deposit in a terrace about 30 meters above the Danube river near the village of Willendorf in Austria.</w:t>
      </w:r>
    </w:p>
    <w:p>
      <w:pPr>
        <w:pStyle w:val="Normal"/>
        <w:rPr>
          <w:bCs/>
        </w:rPr>
      </w:pPr>
      <w:r>
        <w:rPr>
          <w:b/>
          <w:bCs/>
        </w:rPr>
        <w:t>Map, GPS Coordinates:</w:t>
      </w:r>
      <w:r>
        <w:rPr>
          <w:bCs/>
        </w:rPr>
        <w:t xml:space="preserve"> 48.3166654 15.3833318, 48°18'60.00" N 15°22'59.99" E</w:t>
      </w:r>
    </w:p>
    <w:p>
      <w:pPr>
        <w:pStyle w:val="Normal"/>
        <w:rPr>
          <w:lang w:val="en-US" w:eastAsia="en-US"/>
        </w:rPr>
      </w:pPr>
      <w:r>
        <w:rPr>
          <w:lang w:val="en-US" w:eastAsia="en-US"/>
        </w:rPr>
        <w:drawing>
          <wp:inline distT="0" distB="0" distL="0" distR="0">
            <wp:extent cx="2268220" cy="1786255"/>
            <wp:effectExtent l="0" t="0" r="0" b="0"/>
            <wp:docPr id="2" name="Picture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title=""/>
                    <pic:cNvPicPr>
                      <a:picLocks noChangeAspect="1" noChangeArrowheads="1"/>
                    </pic:cNvPicPr>
                  </pic:nvPicPr>
                  <pic:blipFill>
                    <a:blip r:embed="rId3"/>
                    <a:srcRect l="-10" t="-13" r="-10" b="-13"/>
                    <a:stretch>
                      <a:fillRect/>
                    </a:stretch>
                  </pic:blipFill>
                  <pic:spPr bwMode="auto">
                    <a:xfrm>
                      <a:off x="0" y="0"/>
                      <a:ext cx="2268220" cy="1786255"/>
                    </a:xfrm>
                    <a:prstGeom prst="rect">
                      <a:avLst/>
                    </a:prstGeom>
                  </pic:spPr>
                </pic:pic>
              </a:graphicData>
            </a:graphic>
          </wp:inline>
        </w:drawing>
      </w:r>
      <w:r>
        <w:rPr>
          <w:lang w:val="en-US" w:eastAsia="en-US"/>
        </w:rPr>
        <w:drawing>
          <wp:inline distT="0" distB="0" distL="0" distR="0">
            <wp:extent cx="3035935" cy="1835785"/>
            <wp:effectExtent l="0" t="0" r="0" b="0"/>
            <wp:docPr id="3"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title=""/>
                    <pic:cNvPicPr>
                      <a:picLocks noChangeAspect="1" noChangeArrowheads="1"/>
                    </pic:cNvPicPr>
                  </pic:nvPicPr>
                  <pic:blipFill>
                    <a:blip r:embed="rId4"/>
                    <a:srcRect l="-8" t="-14" r="-8" b="-14"/>
                    <a:stretch>
                      <a:fillRect/>
                    </a:stretch>
                  </pic:blipFill>
                  <pic:spPr bwMode="auto">
                    <a:xfrm>
                      <a:off x="0" y="0"/>
                      <a:ext cx="3035935" cy="1835785"/>
                    </a:xfrm>
                    <a:prstGeom prst="rect">
                      <a:avLst/>
                    </a:prstGeom>
                  </pic:spPr>
                </pic:pic>
              </a:graphicData>
            </a:graphic>
          </wp:inline>
        </w:drawing>
      </w:r>
    </w:p>
    <w:p>
      <w:pPr>
        <w:pStyle w:val="Normal"/>
        <w:rPr>
          <w:bCs/>
        </w:rPr>
      </w:pPr>
      <w:r>
        <w:rPr>
          <w:lang w:val="en-US" w:eastAsia="en-US"/>
        </w:rPr>
        <w:t>Fig. 2-3. Maps of Willendorf site from http://latitude.to/img/latitude-logo.svg</w:t>
      </w:r>
    </w:p>
    <w:p>
      <w:pPr>
        <w:pStyle w:val="Normal"/>
        <w:rPr>
          <w:bCs/>
        </w:rPr>
      </w:pPr>
      <w:r>
        <w:rPr>
          <w:rStyle w:val="StrongEmphasis"/>
        </w:rPr>
        <w:t>Cultural Affiliation:</w:t>
      </w:r>
      <w:r>
        <w:rPr>
          <w:bCs/>
        </w:rPr>
        <w:t xml:space="preserve"> </w:t>
      </w:r>
      <w:r>
        <w:rPr>
          <w:bCs/>
          <w:color w:val="000000"/>
          <w:shd w:fill="FFFFFF" w:val="clear"/>
        </w:rPr>
        <w:t xml:space="preserve">Aurignacian of the Upper Paleolithic </w:t>
      </w:r>
    </w:p>
    <w:p>
      <w:pPr>
        <w:pStyle w:val="Normal"/>
        <w:rPr>
          <w:bCs/>
        </w:rPr>
      </w:pPr>
      <w:r>
        <w:rPr>
          <w:rStyle w:val="StrongEmphasis"/>
        </w:rPr>
        <w:t>Media:</w:t>
      </w:r>
      <w:r>
        <w:rPr>
          <w:bCs/>
        </w:rPr>
        <w:t xml:space="preserve"> </w:t>
      </w:r>
      <w:r>
        <w:rPr>
          <w:bCs/>
          <w:color w:val="000000"/>
          <w:shd w:fill="FFFFFF" w:val="clear"/>
        </w:rPr>
        <w:t>yellowish limestone, tinted red by traces of ochre</w:t>
      </w:r>
    </w:p>
    <w:p>
      <w:pPr>
        <w:pStyle w:val="Normal"/>
        <w:rPr>
          <w:bCs/>
        </w:rPr>
      </w:pPr>
      <w:r>
        <w:rPr>
          <w:rStyle w:val="StrongEmphasis"/>
        </w:rPr>
        <w:t>Dimensions:</w:t>
      </w:r>
      <w:r>
        <w:rPr>
          <w:rStyle w:val="StrongEmphasis"/>
          <w:b w:val="false"/>
        </w:rPr>
        <w:t xml:space="preserve"> original, H</w:t>
      </w:r>
      <w:r>
        <w:rPr>
          <w:bCs/>
        </w:rPr>
        <w:t xml:space="preserve"> </w:t>
      </w:r>
      <w:r>
        <w:rPr>
          <w:bCs/>
          <w:color w:val="000000"/>
          <w:shd w:fill="FFFFFF" w:val="clear"/>
        </w:rPr>
        <w:t>11; W 4 cm</w:t>
      </w:r>
    </w:p>
    <w:p>
      <w:pPr>
        <w:pStyle w:val="Normal"/>
        <w:rPr/>
      </w:pPr>
      <w:r>
        <w:rPr>
          <w:rStyle w:val="StrongEmphasis"/>
        </w:rPr>
        <w:t xml:space="preserve">Weight:  </w:t>
      </w:r>
    </w:p>
    <w:p>
      <w:pPr>
        <w:pStyle w:val="Normal"/>
        <w:rPr>
          <w:rStyle w:val="StrongEmphasis"/>
          <w:b w:val="false"/>
          <w:b w:val="false"/>
        </w:rPr>
      </w:pPr>
      <w:r>
        <w:rPr>
          <w:rStyle w:val="StrongEmphasis"/>
        </w:rPr>
        <w:t>Condition:</w:t>
      </w:r>
      <w:r>
        <w:rPr>
          <w:rStyle w:val="StrongEmphasis"/>
          <w:b w:val="false"/>
        </w:rPr>
        <w:t xml:space="preserve"> original, </w:t>
      </w:r>
      <w:r>
        <w:rPr>
          <w:bCs/>
          <w:color w:val="000000"/>
          <w:shd w:fill="FFFFFF" w:val="clear"/>
        </w:rPr>
        <w:t>the feet appear to be broken off. Museum replica in resin.</w:t>
      </w:r>
    </w:p>
    <w:p>
      <w:pPr>
        <w:pStyle w:val="Heading3"/>
        <w:spacing w:before="0" w:after="0"/>
        <w:rPr/>
      </w:pPr>
      <w:r>
        <w:rPr>
          <w:rStyle w:val="StrongEmphasis"/>
          <w:b w:val="false"/>
          <w:bCs w:val="false"/>
          <w:sz w:val="24"/>
        </w:rPr>
        <w:t>Provenance:</w:t>
      </w:r>
      <w:r>
        <w:rPr>
          <w:b w:val="false"/>
          <w:sz w:val="24"/>
        </w:rPr>
        <w:t xml:space="preserve"> The Venus of Willendorf was discovered on August 7th, 1908, during excavation work carried out in Willendorf (World Heritage Region, Wachau, Lower Austria) by the Imperial Natural History Museum Vienna </w:t>
      </w:r>
      <w:r>
        <w:rPr>
          <w:b w:val="false"/>
          <w:color w:val="000000"/>
          <w:sz w:val="24"/>
          <w:shd w:fill="FFFFFF" w:val="clear"/>
        </w:rPr>
        <w:t>by Austrian archaeologist Josef Szombathy during systematic investigations of the local Gravettian settlements in lower Austria, near Krems. Now, in the permanent collection of</w:t>
      </w:r>
      <w:r>
        <w:rPr>
          <w:rStyle w:val="Appleconvertedspace"/>
          <w:b/>
          <w:color w:val="000000"/>
          <w:sz w:val="24"/>
          <w:shd w:fill="FFFFFF" w:val="clear"/>
        </w:rPr>
        <w:t> </w:t>
      </w:r>
      <w:r>
        <w:rPr>
          <w:b w:val="false"/>
          <w:sz w:val="24"/>
          <w:shd w:fill="FFFFFF" w:val="clear"/>
        </w:rPr>
        <w:t>rock art</w:t>
      </w:r>
      <w:r>
        <w:rPr>
          <w:rStyle w:val="Appleconvertedspace"/>
          <w:b/>
          <w:color w:val="000000"/>
          <w:sz w:val="24"/>
          <w:shd w:fill="FFFFFF" w:val="clear"/>
        </w:rPr>
        <w:t> </w:t>
      </w:r>
      <w:r>
        <w:rPr>
          <w:b w:val="false"/>
          <w:color w:val="000000"/>
          <w:sz w:val="24"/>
          <w:shd w:fill="FFFFFF" w:val="clear"/>
        </w:rPr>
        <w:t xml:space="preserve">in the </w:t>
      </w:r>
      <w:r>
        <w:rPr>
          <w:b w:val="false"/>
          <w:sz w:val="24"/>
        </w:rPr>
        <w:t>Naturhistorisches Museum, Vienna.</w:t>
      </w:r>
    </w:p>
    <w:p>
      <w:pPr>
        <w:pStyle w:val="Normal"/>
        <w:rPr>
          <w:b/>
          <w:b/>
          <w:bCs/>
        </w:rPr>
      </w:pPr>
      <w:r>
        <w:rPr>
          <w:b/>
          <w:bCs/>
        </w:rPr>
        <w:t>Discussion:</w:t>
      </w:r>
    </w:p>
    <w:p>
      <w:pPr>
        <w:pStyle w:val="Normal"/>
        <w:rPr>
          <w:bCs/>
          <w:color w:val="000000"/>
          <w:highlight w:val="white"/>
        </w:rPr>
      </w:pPr>
      <w:r>
        <w:rPr>
          <w:bCs/>
          <w:color w:val="000000"/>
          <w:shd w:fill="FFFFFF" w:val="clear"/>
        </w:rPr>
        <w:t>The Venus of Willendorf was created during the same period as several other famous Stone Age figurines, and they perhaps were created also to ritualize a successful fertility strategy. Perhaps the following Gravettian or Upper Perigordian female figurines of the Upper Paleolithic were intended to ritualize a successful fertility strategy also. They include the bas-relief</w:t>
      </w:r>
      <w:r>
        <w:rPr>
          <w:rStyle w:val="Appleconvertedspace"/>
          <w:bCs/>
          <w:color w:val="000000"/>
          <w:shd w:fill="FFFFFF" w:val="clear"/>
        </w:rPr>
        <w:t> </w:t>
      </w:r>
      <w:r>
        <w:rPr>
          <w:bCs/>
          <w:iCs/>
          <w:color w:val="000000"/>
          <w:shd w:fill="FFFFFF" w:val="clear"/>
        </w:rPr>
        <w:t>Venus of Laussel</w:t>
      </w:r>
      <w:r>
        <w:rPr>
          <w:rStyle w:val="Appleconvertedspace"/>
          <w:bCs/>
          <w:color w:val="000000"/>
          <w:shd w:fill="FFFFFF" w:val="clear"/>
        </w:rPr>
        <w:t> </w:t>
      </w:r>
      <w:r>
        <w:rPr>
          <w:bCs/>
          <w:color w:val="000000"/>
          <w:shd w:fill="FFFFFF" w:val="clear"/>
        </w:rPr>
        <w:t>(France), the ceramic</w:t>
      </w:r>
      <w:r>
        <w:rPr>
          <w:rStyle w:val="Appleconvertedspace"/>
          <w:bCs/>
          <w:color w:val="000000"/>
          <w:shd w:fill="FFFFFF" w:val="clear"/>
        </w:rPr>
        <w:t> </w:t>
      </w:r>
      <w:r>
        <w:rPr>
          <w:bCs/>
          <w:iCs/>
          <w:color w:val="000000"/>
          <w:shd w:fill="FFFFFF" w:val="clear"/>
        </w:rPr>
        <w:t>Venus of Dolni Vestonice</w:t>
      </w:r>
      <w:r>
        <w:rPr>
          <w:rStyle w:val="Appleconvertedspace"/>
          <w:bCs/>
          <w:color w:val="000000"/>
          <w:shd w:fill="FFFFFF" w:val="clear"/>
        </w:rPr>
        <w:t> </w:t>
      </w:r>
      <w:r>
        <w:rPr>
          <w:bCs/>
          <w:color w:val="000000"/>
          <w:shd w:fill="FFFFFF" w:val="clear"/>
        </w:rPr>
        <w:t>(Czech Republic), the ivory</w:t>
      </w:r>
      <w:r>
        <w:rPr>
          <w:rStyle w:val="Appleconvertedspace"/>
          <w:bCs/>
          <w:color w:val="000000"/>
          <w:shd w:fill="FFFFFF" w:val="clear"/>
        </w:rPr>
        <w:t> </w:t>
      </w:r>
      <w:r>
        <w:rPr>
          <w:bCs/>
          <w:iCs/>
          <w:shd w:fill="FFFFFF" w:val="clear"/>
        </w:rPr>
        <w:t>Venus of Lespugue</w:t>
      </w:r>
      <w:r>
        <w:rPr>
          <w:rStyle w:val="Appleconvertedspace"/>
          <w:bCs/>
          <w:color w:val="000000"/>
          <w:shd w:fill="FFFFFF" w:val="clear"/>
        </w:rPr>
        <w:t> </w:t>
      </w:r>
      <w:r>
        <w:rPr>
          <w:bCs/>
          <w:color w:val="000000"/>
          <w:shd w:fill="FFFFFF" w:val="clear"/>
        </w:rPr>
        <w:t>(France), the steatite</w:t>
      </w:r>
      <w:r>
        <w:rPr>
          <w:rStyle w:val="Appleconvertedspace"/>
          <w:bCs/>
          <w:color w:val="000000"/>
          <w:shd w:fill="FFFFFF" w:val="clear"/>
        </w:rPr>
        <w:t> </w:t>
      </w:r>
      <w:hyperlink r:id="rId5">
        <w:r>
          <w:rPr>
            <w:rStyle w:val="InternetLink"/>
            <w:bCs/>
            <w:iCs/>
            <w:shd w:fill="FFFFFF" w:val="clear"/>
          </w:rPr>
          <w:t>Venus of Savignano</w:t>
        </w:r>
      </w:hyperlink>
      <w:r>
        <w:rPr>
          <w:rStyle w:val="Appleconvertedspace"/>
          <w:bCs/>
          <w:color w:val="000000"/>
          <w:shd w:fill="FFFFFF" w:val="clear"/>
        </w:rPr>
        <w:t> </w:t>
      </w:r>
      <w:r>
        <w:rPr>
          <w:bCs/>
          <w:color w:val="000000"/>
          <w:shd w:fill="FFFFFF" w:val="clear"/>
        </w:rPr>
        <w:t>(Italy), the stone</w:t>
      </w:r>
      <w:r>
        <w:rPr>
          <w:rStyle w:val="Appleconvertedspace"/>
          <w:bCs/>
          <w:color w:val="000000"/>
          <w:shd w:fill="FFFFFF" w:val="clear"/>
        </w:rPr>
        <w:t> </w:t>
      </w:r>
      <w:hyperlink r:id="rId6">
        <w:r>
          <w:rPr>
            <w:rStyle w:val="InternetLink"/>
            <w:bCs/>
            <w:iCs/>
            <w:shd w:fill="FFFFFF" w:val="clear"/>
          </w:rPr>
          <w:t>Venus of Gagarino</w:t>
        </w:r>
      </w:hyperlink>
      <w:r>
        <w:rPr>
          <w:rStyle w:val="Appleconvertedspace"/>
          <w:bCs/>
          <w:color w:val="000000"/>
          <w:shd w:fill="FFFFFF" w:val="clear"/>
        </w:rPr>
        <w:t> </w:t>
      </w:r>
      <w:r>
        <w:rPr>
          <w:bCs/>
          <w:color w:val="000000"/>
          <w:shd w:fill="FFFFFF" w:val="clear"/>
        </w:rPr>
        <w:t>(Russia), as well as the Russian ivory figurines, known as the</w:t>
      </w:r>
      <w:r>
        <w:rPr>
          <w:rStyle w:val="Appleconvertedspace"/>
          <w:bCs/>
          <w:color w:val="000000"/>
          <w:shd w:fill="FFFFFF" w:val="clear"/>
        </w:rPr>
        <w:t> </w:t>
      </w:r>
      <w:hyperlink r:id="rId7">
        <w:r>
          <w:rPr>
            <w:rStyle w:val="InternetLink"/>
            <w:bCs/>
            <w:iCs/>
            <w:shd w:fill="FFFFFF" w:val="clear"/>
          </w:rPr>
          <w:t>Avdeevo Venuses</w:t>
        </w:r>
      </w:hyperlink>
      <w:r>
        <w:rPr>
          <w:bCs/>
          <w:color w:val="000000"/>
          <w:shd w:fill="FFFFFF" w:val="clear"/>
        </w:rPr>
        <w:t>, the</w:t>
      </w:r>
      <w:r>
        <w:rPr>
          <w:rStyle w:val="Appleconvertedspace"/>
          <w:bCs/>
          <w:color w:val="000000"/>
          <w:shd w:fill="FFFFFF" w:val="clear"/>
        </w:rPr>
        <w:t> </w:t>
      </w:r>
      <w:hyperlink r:id="rId8">
        <w:r>
          <w:rPr>
            <w:rStyle w:val="InternetLink"/>
            <w:bCs/>
            <w:iCs/>
            <w:shd w:fill="FFFFFF" w:val="clear"/>
          </w:rPr>
          <w:t>Venus of Kostenky</w:t>
        </w:r>
      </w:hyperlink>
      <w:r>
        <w:rPr>
          <w:bCs/>
          <w:color w:val="000000"/>
          <w:shd w:fill="FFFFFF" w:val="clear"/>
        </w:rPr>
        <w:t>, the</w:t>
      </w:r>
      <w:r>
        <w:rPr>
          <w:rStyle w:val="Appleconvertedspace"/>
          <w:bCs/>
          <w:color w:val="000000"/>
          <w:shd w:fill="FFFFFF" w:val="clear"/>
        </w:rPr>
        <w:t> </w:t>
      </w:r>
      <w:hyperlink r:id="rId9">
        <w:r>
          <w:rPr>
            <w:rStyle w:val="InternetLink"/>
            <w:bCs/>
            <w:iCs/>
            <w:shd w:fill="FFFFFF" w:val="clear"/>
          </w:rPr>
          <w:t>Mal'ta Venuses</w:t>
        </w:r>
      </w:hyperlink>
      <w:r>
        <w:rPr>
          <w:rStyle w:val="Appleconvertedspace"/>
          <w:bCs/>
          <w:color w:val="000000"/>
          <w:shd w:fill="FFFFFF" w:val="clear"/>
        </w:rPr>
        <w:t> </w:t>
      </w:r>
      <w:r>
        <w:rPr>
          <w:bCs/>
          <w:color w:val="000000"/>
          <w:shd w:fill="FFFFFF" w:val="clear"/>
        </w:rPr>
        <w:t>and the</w:t>
      </w:r>
      <w:r>
        <w:rPr>
          <w:rStyle w:val="Appleconvertedspace"/>
          <w:bCs/>
          <w:color w:val="000000"/>
          <w:shd w:fill="FFFFFF" w:val="clear"/>
        </w:rPr>
        <w:t> </w:t>
      </w:r>
      <w:hyperlink r:id="rId10">
        <w:r>
          <w:rPr>
            <w:rStyle w:val="InternetLink"/>
            <w:bCs/>
            <w:shd w:fill="FFFFFF" w:val="clear"/>
          </w:rPr>
          <w:t>Zaraysk Venuses</w:t>
        </w:r>
      </w:hyperlink>
      <w:r>
        <w:rPr>
          <w:bCs/>
          <w:color w:val="000000"/>
          <w:shd w:fill="FFFFFF" w:val="clear"/>
        </w:rPr>
        <w:t xml:space="preserve">. </w:t>
      </w:r>
    </w:p>
    <w:p>
      <w:pPr>
        <w:pStyle w:val="Normal"/>
        <w:rPr>
          <w:b/>
          <w:b/>
          <w:bCs/>
        </w:rPr>
      </w:pPr>
      <w:r>
        <w:rPr>
          <w:b/>
          <w:bCs/>
        </w:rPr>
        <w:t>References:</w:t>
      </w:r>
    </w:p>
    <w:p>
      <w:pPr>
        <w:pStyle w:val="Normal"/>
        <w:rPr>
          <w:b/>
          <w:b/>
          <w:bCs/>
        </w:rPr>
      </w:pPr>
      <w:r>
        <w:rPr/>
        <w:t xml:space="preserve">Angeli, Wilhelm. 1989. </w:t>
      </w:r>
      <w:r>
        <w:rPr>
          <w:i/>
        </w:rPr>
        <w:t>Die Venus von Willendorf</w:t>
      </w:r>
      <w:r>
        <w:rPr/>
        <w:t>. Vienna: Edition Wein.</w:t>
      </w:r>
    </w:p>
    <w:p>
      <w:pPr>
        <w:pStyle w:val="Normal"/>
        <w:rPr/>
      </w:pPr>
      <w:r>
        <w:rPr>
          <w:bCs/>
          <w:color w:val="000000"/>
          <w:highlight w:val="white"/>
        </w:rPr>
        <w:t>Szombathy, Josef. 1915</w:t>
      </w:r>
      <w:r>
        <w:rPr>
          <w:bCs/>
          <w:i/>
          <w:color w:val="000000"/>
          <w:highlight w:val="white"/>
        </w:rPr>
        <w:t>. Das Versiegen einzelner prähistorischer Kunstepochen und die Stellung der paläolithischen Kunst Mitteleuropas</w:t>
      </w:r>
      <w:r>
        <w:rPr>
          <w:bCs/>
          <w:color w:val="000000"/>
          <w:highlight w:val="white"/>
        </w:rPr>
        <w:t xml:space="preserve">. </w:t>
      </w:r>
    </w:p>
    <w:tbl>
      <w:tblPr>
        <w:tblW w:w="4877" w:type="dxa"/>
        <w:jc w:val="start"/>
        <w:tblInd w:w="0" w:type="dxa"/>
        <w:tblBorders/>
        <w:tblCellMar>
          <w:top w:w="0" w:type="dxa"/>
          <w:start w:w="0" w:type="dxa"/>
          <w:bottom w:w="0" w:type="dxa"/>
          <w:end w:w="0" w:type="dxa"/>
        </w:tblCellMar>
      </w:tblPr>
      <w:tblGrid>
        <w:gridCol w:w="23"/>
        <w:gridCol w:w="23"/>
        <w:gridCol w:w="4785"/>
        <w:gridCol w:w="23"/>
        <w:gridCol w:w="23"/>
      </w:tblGrid>
      <w:tr>
        <w:trPr>
          <w:trHeight w:val="339" w:hRule="atLeast"/>
        </w:trPr>
        <w:tc>
          <w:tcPr>
            <w:tcW w:w="23" w:type="dxa"/>
            <w:tcBorders/>
            <w:shd w:fill="auto" w:val="clear"/>
            <w:vAlign w:val="center"/>
          </w:tcPr>
          <w:p>
            <w:pPr>
              <w:pStyle w:val="Normal"/>
              <w:snapToGrid w:val="false"/>
              <w:rPr>
                <w:rFonts w:eastAsia="Times New Roman"/>
                <w:sz w:val="20"/>
                <w:szCs w:val="20"/>
                <w:lang w:eastAsia="en-US"/>
              </w:rPr>
            </w:pPr>
            <w:r>
              <w:rPr>
                <w:rFonts w:eastAsia="Times New Roman"/>
                <w:sz w:val="20"/>
                <w:szCs w:val="20"/>
                <w:lang w:eastAsia="en-US"/>
              </w:rPr>
            </w:r>
          </w:p>
        </w:tc>
        <w:tc>
          <w:tcPr>
            <w:tcW w:w="23" w:type="dxa"/>
            <w:tcBorders/>
            <w:shd w:fill="auto" w:val="clear"/>
          </w:tcPr>
          <w:p>
            <w:pPr>
              <w:pStyle w:val="Normal"/>
              <w:snapToGrid w:val="false"/>
              <w:rPr>
                <w:rFonts w:eastAsia="Times New Roman"/>
                <w:sz w:val="20"/>
                <w:szCs w:val="20"/>
                <w:lang w:eastAsia="en-US"/>
              </w:rPr>
            </w:pPr>
            <w:r>
              <w:rPr>
                <w:rFonts w:eastAsia="Times New Roman"/>
                <w:sz w:val="20"/>
                <w:szCs w:val="20"/>
                <w:lang w:eastAsia="en-US"/>
              </w:rPr>
            </w:r>
          </w:p>
        </w:tc>
        <w:tc>
          <w:tcPr>
            <w:tcW w:w="4785" w:type="dxa"/>
            <w:tcBorders/>
            <w:shd w:fill="auto" w:val="clear"/>
            <w:vAlign w:val="center"/>
          </w:tcPr>
          <w:p>
            <w:pPr>
              <w:pStyle w:val="Normal"/>
              <w:rPr/>
            </w:pPr>
            <w:r>
              <w:rPr>
                <w:rFonts w:eastAsia="Times New Roman"/>
                <w:lang w:eastAsia="en-US"/>
              </w:rPr>
              <w:t>Vienna: Selbstverl. der Anthropologischen Ges.</w:t>
            </w:r>
          </w:p>
        </w:tc>
        <w:tc>
          <w:tcPr>
            <w:tcW w:w="23" w:type="dxa"/>
            <w:tcBorders/>
            <w:shd w:fill="auto" w:val="clear"/>
          </w:tcPr>
          <w:p>
            <w:pPr>
              <w:pStyle w:val="Normal"/>
              <w:snapToGrid w:val="false"/>
              <w:rPr>
                <w:rFonts w:eastAsia="Times New Roman"/>
                <w:lang w:eastAsia="en-US"/>
              </w:rPr>
            </w:pPr>
            <w:r>
              <w:rPr>
                <w:rFonts w:eastAsia="Times New Roman"/>
                <w:lang w:eastAsia="en-US"/>
              </w:rPr>
            </w:r>
          </w:p>
        </w:tc>
        <w:tc>
          <w:tcPr>
            <w:tcW w:w="23" w:type="dxa"/>
            <w:tcBorders/>
            <w:shd w:fill="auto" w:val="clear"/>
          </w:tcPr>
          <w:p>
            <w:pPr>
              <w:pStyle w:val="Normal"/>
              <w:snapToGrid w:val="false"/>
              <w:rPr>
                <w:rFonts w:eastAsia="Times New Roman"/>
                <w:lang w:eastAsia="en-US"/>
              </w:rPr>
            </w:pPr>
            <w:r>
              <w:rPr>
                <w:rFonts w:eastAsia="Times New Roman"/>
                <w:lang w:eastAsia="en-US"/>
              </w:rPr>
            </w:r>
          </w:p>
        </w:tc>
      </w:tr>
    </w:tbl>
    <w:p>
      <w:pPr>
        <w:pStyle w:val="Normal"/>
        <w:rPr/>
      </w:pPr>
      <w:r>
        <w:rPr/>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Light">
    <w:charset w:val="00" w:characterSet="windows-1252"/>
    <w:family w:val="swiss"/>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paragraph" w:styleId="Heading1">
    <w:name w:val="Heading 1"/>
    <w:basedOn w:val="Normal"/>
    <w:next w:val="Normal"/>
    <w:qFormat/>
    <w:pPr>
      <w:keepNext w:val="true"/>
      <w:numPr>
        <w:ilvl w:val="0"/>
        <w:numId w:val="1"/>
      </w:numPr>
      <w:spacing w:before="240" w:after="60"/>
      <w:outlineLvl w:val="0"/>
    </w:pPr>
    <w:rPr>
      <w:rFonts w:ascii="Calibri Light" w:hAnsi="Calibri Light" w:eastAsia="Times New Roman" w:cs="Times New Roman"/>
      <w:b/>
      <w:bCs/>
      <w:kern w:val="2"/>
      <w:sz w:val="32"/>
      <w:szCs w:val="32"/>
    </w:rPr>
  </w:style>
  <w:style w:type="paragraph" w:styleId="Heading3">
    <w:name w:val="Heading 3"/>
    <w:basedOn w:val="Normal"/>
    <w:next w:val="TextBody"/>
    <w:qFormat/>
    <w:pPr>
      <w:numPr>
        <w:ilvl w:val="2"/>
        <w:numId w:val="1"/>
      </w:numPr>
      <w:spacing w:before="280" w:after="280"/>
      <w:outlineLvl w:val="2"/>
    </w:pPr>
    <w:rPr>
      <w:b/>
      <w:bCs/>
      <w:sz w:val="27"/>
      <w:szCs w:val="27"/>
    </w:rPr>
  </w:style>
  <w:style w:type="character" w:styleId="DefaultParagraphFont">
    <w:name w:val="Default Paragraph Font"/>
    <w:qFormat/>
    <w:rPr/>
  </w:style>
  <w:style w:type="character" w:styleId="StrongEmphasis">
    <w:name w:val="Strong Emphasis"/>
    <w:qFormat/>
    <w:rPr>
      <w:b/>
      <w:bCs/>
    </w:rPr>
  </w:style>
  <w:style w:type="character" w:styleId="Appleconvertedspace">
    <w:name w:val="apple-converted-space"/>
    <w:basedOn w:val="DefaultParagraphFont"/>
    <w:qFormat/>
    <w:rPr/>
  </w:style>
  <w:style w:type="character" w:styleId="InternetLink">
    <w:name w:val="Internet Link"/>
    <w:rPr>
      <w:color w:val="0000FF"/>
      <w:u w:val="single"/>
    </w:rPr>
  </w:style>
  <w:style w:type="character" w:styleId="VisitedInternetLink">
    <w:name w:val="Visited Internet Link"/>
    <w:rPr>
      <w:color w:val="800080"/>
      <w:u w:val="single"/>
    </w:rPr>
  </w:style>
  <w:style w:type="character" w:styleId="Heading1Char">
    <w:name w:val="Heading 1 Char"/>
    <w:qFormat/>
    <w:rPr>
      <w:rFonts w:ascii="Calibri Light" w:hAnsi="Calibri Light" w:eastAsia="Times New Roman" w:cs="Times New Roman"/>
      <w:b/>
      <w:bCs/>
      <w:kern w:val="2"/>
      <w:sz w:val="32"/>
      <w:szCs w:val="32"/>
      <w:lang w:eastAsia="zh-C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www.visual-arts-cork.com/prehistoric/savignano-venus.htm" TargetMode="External"/><Relationship Id="rId6" Type="http://schemas.openxmlformats.org/officeDocument/2006/relationships/hyperlink" Target="http://www.visual-arts-cork.com/prehistoric/gagarino-venus.htm" TargetMode="External"/><Relationship Id="rId7" Type="http://schemas.openxmlformats.org/officeDocument/2006/relationships/hyperlink" Target="http://www.visual-arts-cork.com/prehistoric/avdeevo-venuses.htm" TargetMode="External"/><Relationship Id="rId8" Type="http://schemas.openxmlformats.org/officeDocument/2006/relationships/hyperlink" Target="http://www.visual-arts-cork.com/prehistoric/venus-of-kostenky.htm" TargetMode="External"/><Relationship Id="rId9" Type="http://schemas.openxmlformats.org/officeDocument/2006/relationships/hyperlink" Target="http://www.visual-arts-cork.com/prehistoric/malta-venuses.htm" TargetMode="External"/><Relationship Id="rId10" Type="http://schemas.openxmlformats.org/officeDocument/2006/relationships/hyperlink" Target="http://www.visual-arts-cork.com/prehistoric/zaraysk-venuses.htm"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7</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2017-03-14T09:38:00Z</dcterms:created>
  <dc:creator>Ralph</dc:creator>
  <dc:description/>
  <cp:keywords/>
  <dc:language>en-US</dc:language>
  <cp:lastModifiedBy>Ralph Coffman</cp:lastModifiedBy>
  <dcterms:modified xsi:type="dcterms:W3CDTF">2017-03-17T08:11:00Z</dcterms:modified>
  <cp:revision>3</cp:revision>
  <dc:subject/>
  <dc:title>Dis-Austria-Willendorf-Venus Figurine</dc:title>
</cp:coreProperties>
</file>