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1BC" w:rsidRPr="00556196" w:rsidRDefault="00CE48A0" w:rsidP="00B241BC">
      <w:pPr>
        <w:spacing w:after="0"/>
        <w:rPr>
          <w:b/>
          <w:bCs/>
        </w:rPr>
      </w:pPr>
      <w:bookmarkStart w:id="0" w:name="_GoBack"/>
      <w:r>
        <w:t>A2018</w:t>
      </w:r>
      <w:r w:rsidR="00B241BC" w:rsidRPr="00556196">
        <w:t>-Czech Republic-</w:t>
      </w:r>
      <w:r w:rsidR="00B241BC" w:rsidRPr="00556196">
        <w:rPr>
          <w:bCs/>
        </w:rPr>
        <w:t>Předmostí-Figurine-Mammoth</w:t>
      </w:r>
      <w:r w:rsidR="00B241BC">
        <w:rPr>
          <w:bCs/>
        </w:rPr>
        <w:t>-Ivory-</w:t>
      </w:r>
      <w:r w:rsidR="00B241BC">
        <w:t xml:space="preserve">26, 870 </w:t>
      </w:r>
      <w:r w:rsidR="00B241BC">
        <w:rPr>
          <w:bCs/>
        </w:rPr>
        <w:t>BP</w:t>
      </w:r>
    </w:p>
    <w:bookmarkEnd w:id="0"/>
    <w:p w:rsidR="00B30EDE" w:rsidRDefault="00B30EDE">
      <w:pPr>
        <w:rPr>
          <w:noProof/>
        </w:rPr>
      </w:pPr>
      <w:r>
        <w:rPr>
          <w:noProof/>
        </w:rPr>
        <w:drawing>
          <wp:inline distT="0" distB="0" distL="0" distR="0" wp14:anchorId="4188F97B" wp14:editId="7391C63D">
            <wp:extent cx="27432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200" cy="2343150"/>
                    </a:xfrm>
                    <a:prstGeom prst="rect">
                      <a:avLst/>
                    </a:prstGeom>
                  </pic:spPr>
                </pic:pic>
              </a:graphicData>
            </a:graphic>
          </wp:inline>
        </w:drawing>
      </w:r>
      <w:r w:rsidRPr="00B30EDE">
        <w:rPr>
          <w:noProof/>
        </w:rPr>
        <w:t xml:space="preserve"> </w:t>
      </w:r>
      <w:r>
        <w:rPr>
          <w:noProof/>
        </w:rPr>
        <w:drawing>
          <wp:inline distT="0" distB="0" distL="0" distR="0" wp14:anchorId="4C0B72FD" wp14:editId="2FAF7C27">
            <wp:extent cx="2396490" cy="721435"/>
            <wp:effectExtent l="0" t="635"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2417114" cy="727644"/>
                    </a:xfrm>
                    <a:prstGeom prst="rect">
                      <a:avLst/>
                    </a:prstGeom>
                  </pic:spPr>
                </pic:pic>
              </a:graphicData>
            </a:graphic>
          </wp:inline>
        </w:drawing>
      </w:r>
      <w:r>
        <w:rPr>
          <w:noProof/>
        </w:rPr>
        <w:drawing>
          <wp:inline distT="0" distB="0" distL="0" distR="0" wp14:anchorId="0C40A198" wp14:editId="317A058D">
            <wp:extent cx="28575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500" cy="2343150"/>
                    </a:xfrm>
                    <a:prstGeom prst="rect">
                      <a:avLst/>
                    </a:prstGeom>
                  </pic:spPr>
                </pic:pic>
              </a:graphicData>
            </a:graphic>
          </wp:inline>
        </w:drawing>
      </w:r>
    </w:p>
    <w:p w:rsidR="00B241BC" w:rsidRPr="00556196" w:rsidRDefault="00B241BC" w:rsidP="00B241BC">
      <w:pPr>
        <w:spacing w:after="0"/>
        <w:rPr>
          <w:b/>
          <w:bCs/>
        </w:rPr>
      </w:pPr>
      <w:r w:rsidRPr="00556196">
        <w:t>Figs. 1-3. Czech Republic-</w:t>
      </w:r>
      <w:r w:rsidRPr="00556196">
        <w:rPr>
          <w:bCs/>
        </w:rPr>
        <w:t>Předmostí-Figurine-Mammoth</w:t>
      </w:r>
      <w:r>
        <w:rPr>
          <w:bCs/>
        </w:rPr>
        <w:t>-Ivory-</w:t>
      </w:r>
      <w:r>
        <w:t xml:space="preserve">26, 870 </w:t>
      </w:r>
      <w:r>
        <w:rPr>
          <w:bCs/>
        </w:rPr>
        <w:t>BP</w:t>
      </w:r>
      <w:r>
        <w:rPr>
          <w:b/>
          <w:bCs/>
        </w:rPr>
        <w:t>-</w:t>
      </w:r>
      <w:r>
        <w:rPr>
          <w:bCs/>
        </w:rPr>
        <w:t>R</w:t>
      </w:r>
      <w:r w:rsidRPr="00556196">
        <w:rPr>
          <w:bCs/>
        </w:rPr>
        <w:t>eplica</w:t>
      </w:r>
    </w:p>
    <w:p w:rsidR="00B241BC" w:rsidRPr="00556196" w:rsidRDefault="00B241BC" w:rsidP="00B241BC">
      <w:pPr>
        <w:spacing w:after="0"/>
        <w:rPr>
          <w:b/>
          <w:bCs/>
        </w:rPr>
      </w:pPr>
    </w:p>
    <w:p w:rsidR="00B241BC" w:rsidRPr="00556196" w:rsidRDefault="00B241BC" w:rsidP="00B241BC">
      <w:pPr>
        <w:spacing w:after="0"/>
        <w:rPr>
          <w:rStyle w:val="Strong"/>
        </w:rPr>
      </w:pPr>
      <w:r w:rsidRPr="00556196">
        <w:rPr>
          <w:rStyle w:val="Strong"/>
        </w:rPr>
        <w:t xml:space="preserve">Formal Label: </w:t>
      </w:r>
      <w:r w:rsidR="009B12A8" w:rsidRPr="00556196">
        <w:t>Czech Republic-</w:t>
      </w:r>
      <w:r w:rsidR="009B12A8" w:rsidRPr="00556196">
        <w:rPr>
          <w:bCs/>
        </w:rPr>
        <w:t>Předmostí-Figurine-Mammoth</w:t>
      </w:r>
      <w:r w:rsidR="009B12A8">
        <w:rPr>
          <w:bCs/>
        </w:rPr>
        <w:t>-Ivory-</w:t>
      </w:r>
      <w:r w:rsidR="009B12A8">
        <w:t xml:space="preserve">26, 870 </w:t>
      </w:r>
      <w:r w:rsidR="009B12A8">
        <w:rPr>
          <w:bCs/>
        </w:rPr>
        <w:t>BP</w:t>
      </w:r>
      <w:r w:rsidR="009B12A8">
        <w:rPr>
          <w:b/>
          <w:bCs/>
        </w:rPr>
        <w:t>-</w:t>
      </w:r>
      <w:r w:rsidR="009B12A8">
        <w:rPr>
          <w:bCs/>
        </w:rPr>
        <w:t>R</w:t>
      </w:r>
      <w:r w:rsidR="009B12A8" w:rsidRPr="00556196">
        <w:rPr>
          <w:bCs/>
        </w:rPr>
        <w:t>eplica</w:t>
      </w:r>
    </w:p>
    <w:p w:rsidR="00B241BC" w:rsidRDefault="00B241BC" w:rsidP="00B241BC">
      <w:pPr>
        <w:pStyle w:val="NormalWeb"/>
        <w:spacing w:before="0" w:beforeAutospacing="0" w:after="0" w:afterAutospacing="0"/>
      </w:pPr>
      <w:r w:rsidRPr="00556196">
        <w:rPr>
          <w:b/>
          <w:bCs/>
        </w:rPr>
        <w:t>Display Description:</w:t>
      </w:r>
      <w:r>
        <w:rPr>
          <w:b/>
          <w:bCs/>
        </w:rPr>
        <w:t xml:space="preserve"> </w:t>
      </w:r>
      <w:r w:rsidRPr="005520E1">
        <w:rPr>
          <w:bCs/>
        </w:rPr>
        <w:t xml:space="preserve">This mammoth figurine carved from mammoth ivory was excavated </w:t>
      </w:r>
      <w:r w:rsidRPr="008D02EE">
        <w:rPr>
          <w:bCs/>
        </w:rPr>
        <w:t xml:space="preserve">from </w:t>
      </w:r>
      <w:proofErr w:type="spellStart"/>
      <w:r w:rsidRPr="008D02EE">
        <w:rPr>
          <w:bCs/>
        </w:rPr>
        <w:t>Předmostí</w:t>
      </w:r>
      <w:proofErr w:type="spellEnd"/>
      <w:r w:rsidRPr="008D02EE">
        <w:rPr>
          <w:bCs/>
        </w:rPr>
        <w:t xml:space="preserve"> </w:t>
      </w:r>
      <w:proofErr w:type="spellStart"/>
      <w:r w:rsidRPr="008D02EE">
        <w:rPr>
          <w:bCs/>
        </w:rPr>
        <w:t>bei</w:t>
      </w:r>
      <w:proofErr w:type="spellEnd"/>
      <w:r w:rsidRPr="008D02EE">
        <w:rPr>
          <w:bCs/>
        </w:rPr>
        <w:t xml:space="preserve"> </w:t>
      </w:r>
      <w:proofErr w:type="spellStart"/>
      <w:r w:rsidRPr="008D02EE">
        <w:rPr>
          <w:bCs/>
        </w:rPr>
        <w:t>Přerov</w:t>
      </w:r>
      <w:proofErr w:type="spellEnd"/>
      <w:r w:rsidRPr="008D02EE">
        <w:t>, a cluster of three Upper Paleolithic (Gravettian) sites on limestone</w:t>
      </w:r>
      <w:r w:rsidRPr="00556196">
        <w:t xml:space="preserve"> outcrops dating to 27,000-</w:t>
      </w:r>
      <w:r w:rsidRPr="00C222D2">
        <w:t>24,000 BP</w:t>
      </w:r>
      <w:r w:rsidRPr="00556196">
        <w:t xml:space="preserve">, located in Moravia, Czech Republic. </w:t>
      </w:r>
      <w:r>
        <w:t xml:space="preserve">The figurine is interesting because it is not meant to be a realistic portrayal but rather a snapshot of the animal in the act of foraging the tundra. It is composed of a single globular volume with carefully distinguishable stylistic features that display the animal with front feet extended forward head and trunk bent , providing an aspect of its behavior that suggests obliviousness to danger. As such, this may have been used as a pedagogical device that was intended to teach inexperienced hunters the pose of the animal when they should take aim with their atlatls. </w:t>
      </w:r>
    </w:p>
    <w:p w:rsidR="00B241BC" w:rsidRDefault="00B241BC" w:rsidP="00B241BC">
      <w:pPr>
        <w:pStyle w:val="NormalWeb"/>
        <w:spacing w:before="0" w:beforeAutospacing="0" w:after="0" w:afterAutospacing="0"/>
        <w:ind w:firstLine="720"/>
      </w:pPr>
      <w:r>
        <w:t>These hunters were indeed successful at hunting mammoths and other mammals, based on the fact that the h</w:t>
      </w:r>
      <w:r w:rsidRPr="00556196">
        <w:t xml:space="preserve">earths within </w:t>
      </w:r>
      <w:r>
        <w:t xml:space="preserve">their </w:t>
      </w:r>
      <w:r w:rsidRPr="00556196">
        <w:t>dwellings have yielded burned bone of over 1,000 mammoths, an</w:t>
      </w:r>
      <w:r>
        <w:t xml:space="preserve">d added to these were bones of </w:t>
      </w:r>
      <w:r w:rsidRPr="00556196">
        <w:t xml:space="preserve">Pleistocene mammals including </w:t>
      </w:r>
      <w:r w:rsidRPr="00C222D2">
        <w:t>fox, horse, wolf, bear, wolveri</w:t>
      </w:r>
      <w:r w:rsidRPr="00556196">
        <w:t>ne,</w:t>
      </w:r>
      <w:r w:rsidRPr="00C222D2">
        <w:t xml:space="preserve"> hare</w:t>
      </w:r>
      <w:r w:rsidRPr="00556196">
        <w:t>, and dog, and of this latter mammal some were considered possibly domesticated by their physical anatomy (</w:t>
      </w:r>
      <w:proofErr w:type="spellStart"/>
      <w:r w:rsidRPr="00556196">
        <w:t>Germonpr</w:t>
      </w:r>
      <w:r w:rsidR="009B12A8">
        <w:t>é</w:t>
      </w:r>
      <w:proofErr w:type="spellEnd"/>
      <w:r w:rsidRPr="00556196">
        <w:t xml:space="preserve"> </w:t>
      </w:r>
      <w:r w:rsidR="009B12A8">
        <w:rPr>
          <w:i/>
        </w:rPr>
        <w:t>et al.</w:t>
      </w:r>
      <w:r w:rsidRPr="00556196">
        <w:t xml:space="preserve"> 2012). Based on this assemblage, the site was used for an extended period of time.</w:t>
      </w:r>
    </w:p>
    <w:p w:rsidR="0001348E" w:rsidRPr="00796A5D" w:rsidRDefault="0001348E" w:rsidP="0001348E">
      <w:r>
        <w:t xml:space="preserve">A new interpretation of this mammoth carving as a pedagogical device has been recently proposed </w:t>
      </w:r>
      <w:r w:rsidRPr="00796A5D">
        <w:t xml:space="preserve">by </w:t>
      </w:r>
      <w:bookmarkStart w:id="1" w:name="bau1"/>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 xml:space="preserve">Alexis </w:t>
      </w:r>
      <w:proofErr w:type="spellStart"/>
      <w:r w:rsidRPr="00796A5D">
        <w:rPr>
          <w:rStyle w:val="Hyperlink"/>
          <w:color w:val="000000" w:themeColor="text1"/>
          <w:u w:val="none"/>
        </w:rPr>
        <w:t>Brugère</w:t>
      </w:r>
      <w:proofErr w:type="spellEnd"/>
      <w:r w:rsidRPr="00796A5D">
        <w:fldChar w:fldCharType="end"/>
      </w:r>
      <w:bookmarkEnd w:id="1"/>
      <w:r w:rsidRPr="00796A5D">
        <w:t xml:space="preserve"> (2014): </w:t>
      </w:r>
    </w:p>
    <w:p w:rsidR="0001348E" w:rsidRPr="00796A5D" w:rsidRDefault="0001348E" w:rsidP="0001348E">
      <w:pPr>
        <w:ind w:left="720"/>
      </w:pPr>
      <w:r w:rsidRPr="00796A5D">
        <w:t xml:space="preserve">hunting was the main, if not the only, procurement pattern [at Předmostí]. Considering the published data from Pavlov I (Moravia) and the reconstructed age profiles based on mammoth teeth, we suggest the proboscidean was hunted at that site. More unexpectedly, two hunting strategies have been identified in the Pavlov Hills area: one affecting </w:t>
      </w:r>
      <w:proofErr w:type="spellStart"/>
      <w:r w:rsidRPr="00796A5D">
        <w:t>subadults</w:t>
      </w:r>
      <w:proofErr w:type="spellEnd"/>
      <w:r w:rsidRPr="00796A5D">
        <w:t xml:space="preserve"> and adults, and the second one affecting young and </w:t>
      </w:r>
      <w:proofErr w:type="spellStart"/>
      <w:r w:rsidRPr="00796A5D">
        <w:t>subadult</w:t>
      </w:r>
      <w:proofErr w:type="spellEnd"/>
      <w:r w:rsidRPr="00796A5D">
        <w:t xml:space="preserve"> individuals. Chronology and the physical condition of the mammoth population are not convincing arguments to explain such a difference. Human </w:t>
      </w:r>
      <w:proofErr w:type="spellStart"/>
      <w:r w:rsidRPr="00796A5D">
        <w:t>behaviour</w:t>
      </w:r>
      <w:proofErr w:type="spellEnd"/>
      <w:r w:rsidRPr="00796A5D">
        <w:t xml:space="preserve"> was involved, and we suggest economic goals related to mammoth resources were the reasons for such a hunting selection. Nevertheless, it is unclear whether season or human group identity could have produced this </w:t>
      </w:r>
      <w:proofErr w:type="spellStart"/>
      <w:r w:rsidRPr="00796A5D">
        <w:t>behaviour</w:t>
      </w:r>
      <w:proofErr w:type="spellEnd"/>
      <w:r w:rsidRPr="00796A5D">
        <w:t>.</w:t>
      </w:r>
    </w:p>
    <w:p w:rsidR="0001348E" w:rsidRPr="00B241BC" w:rsidRDefault="0001348E" w:rsidP="00B241BC">
      <w:pPr>
        <w:pStyle w:val="NormalWeb"/>
        <w:spacing w:before="0" w:beforeAutospacing="0" w:after="0" w:afterAutospacing="0"/>
        <w:ind w:firstLine="720"/>
        <w:rPr>
          <w:rStyle w:val="Strong"/>
          <w:b w:val="0"/>
          <w:bCs w:val="0"/>
        </w:rPr>
      </w:pPr>
    </w:p>
    <w:p w:rsidR="00B241BC" w:rsidRPr="00556196" w:rsidRDefault="00B241BC" w:rsidP="00B241BC">
      <w:pPr>
        <w:spacing w:after="0"/>
      </w:pPr>
      <w:r w:rsidRPr="00556196">
        <w:rPr>
          <w:rStyle w:val="Strong"/>
        </w:rPr>
        <w:t>Accession Number:</w:t>
      </w:r>
      <w:r w:rsidRPr="00556196">
        <w:t xml:space="preserve"> </w:t>
      </w:r>
      <w:r>
        <w:t>A000</w:t>
      </w:r>
    </w:p>
    <w:p w:rsidR="00B241BC" w:rsidRPr="00556196" w:rsidRDefault="00B241BC" w:rsidP="00B241BC">
      <w:pPr>
        <w:spacing w:after="0"/>
        <w:rPr>
          <w:b/>
          <w:bCs/>
        </w:rPr>
      </w:pPr>
      <w:r w:rsidRPr="00556196">
        <w:rPr>
          <w:b/>
          <w:bCs/>
        </w:rPr>
        <w:t>LC Classification:</w:t>
      </w:r>
      <w:r>
        <w:rPr>
          <w:b/>
          <w:bCs/>
        </w:rPr>
        <w:t xml:space="preserve"> </w:t>
      </w:r>
      <w:r w:rsidRPr="00A05B2C">
        <w:t>GN772.22.C95</w:t>
      </w:r>
    </w:p>
    <w:p w:rsidR="00B241BC" w:rsidRPr="00556196" w:rsidRDefault="00B241BC" w:rsidP="00B241BC">
      <w:pPr>
        <w:spacing w:after="0"/>
      </w:pPr>
      <w:r w:rsidRPr="00556196">
        <w:rPr>
          <w:rStyle w:val="Strong"/>
        </w:rPr>
        <w:t>Date or Time Horizon:</w:t>
      </w:r>
      <w:r w:rsidRPr="00556196">
        <w:t xml:space="preserve"> </w:t>
      </w:r>
      <w:r>
        <w:t>26, 870 +/- 250 BP</w:t>
      </w:r>
    </w:p>
    <w:p w:rsidR="00B241BC" w:rsidRPr="00556196" w:rsidRDefault="00B241BC" w:rsidP="00B241BC">
      <w:pPr>
        <w:spacing w:after="0"/>
      </w:pPr>
      <w:r w:rsidRPr="00556196">
        <w:rPr>
          <w:rStyle w:val="Strong"/>
        </w:rPr>
        <w:t>Geographical Area:</w:t>
      </w:r>
      <w:r w:rsidRPr="00556196">
        <w:t xml:space="preserve"> </w:t>
      </w:r>
      <w:proofErr w:type="spellStart"/>
      <w:r w:rsidRPr="00556196">
        <w:rPr>
          <w:bCs/>
        </w:rPr>
        <w:t>Předmostí</w:t>
      </w:r>
      <w:proofErr w:type="spellEnd"/>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t>,</w:t>
      </w:r>
      <w:r w:rsidRPr="00556196">
        <w:t xml:space="preserve"> </w:t>
      </w:r>
      <w:r>
        <w:t xml:space="preserve">Moravia, Czech Republic, </w:t>
      </w:r>
      <w:r w:rsidRPr="00556196">
        <w:t>a cluster of three Upper Paleolithic (Gravettian) sites on limestone outcrops</w:t>
      </w:r>
      <w:r>
        <w:t>.</w:t>
      </w:r>
    </w:p>
    <w:p w:rsidR="00B241BC" w:rsidRPr="00556196" w:rsidRDefault="00B241BC" w:rsidP="00B241BC">
      <w:pPr>
        <w:spacing w:after="0"/>
      </w:pPr>
      <w:r w:rsidRPr="00556196">
        <w:object w:dxaOrig="12960"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75pt;height:161.55pt" o:ole="">
            <v:imagedata r:id="rId7" o:title=""/>
          </v:shape>
          <o:OLEObject Type="Embed" ProgID="Unknown" ShapeID="_x0000_i1025" DrawAspect="Content" ObjectID="_1605604560" r:id="rId8"/>
        </w:object>
      </w:r>
    </w:p>
    <w:p w:rsidR="00B241BC" w:rsidRPr="00556196" w:rsidRDefault="00B241BC" w:rsidP="00B241BC">
      <w:pPr>
        <w:spacing w:after="0"/>
      </w:pPr>
      <w:r w:rsidRPr="00556196">
        <w:rPr>
          <w:rStyle w:val="mw-mmv-title"/>
        </w:rPr>
        <w:t xml:space="preserve">Fig </w:t>
      </w:r>
      <w:r>
        <w:rPr>
          <w:rStyle w:val="mw-mmv-title"/>
        </w:rPr>
        <w:t>4</w:t>
      </w:r>
      <w:r w:rsidRPr="00556196">
        <w:rPr>
          <w:rStyle w:val="mw-mmv-title"/>
        </w:rPr>
        <w:t xml:space="preserve">. </w:t>
      </w:r>
      <w:proofErr w:type="spellStart"/>
      <w:r w:rsidRPr="00556196">
        <w:rPr>
          <w:bCs/>
        </w:rPr>
        <w:t>Předmostí</w:t>
      </w:r>
      <w:proofErr w:type="spellEnd"/>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sidRPr="00556196">
        <w:rPr>
          <w:rStyle w:val="mw-mmv-title"/>
        </w:rPr>
        <w:t xml:space="preserve"> clay dune in which the sites were excavated, photograph by </w:t>
      </w:r>
      <w:proofErr w:type="spellStart"/>
      <w:r w:rsidRPr="00556196">
        <w:rPr>
          <w:rStyle w:val="mw-mmv-title"/>
        </w:rPr>
        <w:t>Přerov</w:t>
      </w:r>
      <w:proofErr w:type="spellEnd"/>
      <w:r w:rsidRPr="00556196">
        <w:rPr>
          <w:rStyle w:val="mw-mmv-title"/>
        </w:rPr>
        <w:t xml:space="preserve">, archeological locality, </w:t>
      </w:r>
      <w:proofErr w:type="spellStart"/>
      <w:r w:rsidRPr="00556196">
        <w:rPr>
          <w:rStyle w:val="mw-mmv-title"/>
        </w:rPr>
        <w:t>Chromeček</w:t>
      </w:r>
      <w:proofErr w:type="spellEnd"/>
      <w:r w:rsidRPr="00556196">
        <w:rPr>
          <w:rStyle w:val="mw-mmv-title"/>
        </w:rPr>
        <w:t xml:space="preserve"> parcel, 1896. </w:t>
      </w:r>
      <w:hyperlink r:id="rId9" w:tooltip="Template:PD-1923" w:history="1">
        <w:r w:rsidRPr="00556196">
          <w:rPr>
            <w:rStyle w:val="Hyperlink"/>
          </w:rPr>
          <w:t>PD-1923</w:t>
        </w:r>
      </w:hyperlink>
    </w:p>
    <w:p w:rsidR="00B241BC" w:rsidRDefault="00B241BC" w:rsidP="00B241BC">
      <w:pPr>
        <w:spacing w:after="0"/>
      </w:pPr>
      <w:r w:rsidRPr="00556196">
        <w:rPr>
          <w:b/>
        </w:rPr>
        <w:t xml:space="preserve">Map, GPS coordinates: </w:t>
      </w:r>
      <w:r w:rsidRPr="00556196">
        <w:t>49.467000N, 17.437000E</w:t>
      </w:r>
      <w:r w:rsidRPr="00A75755">
        <w:t>; 49° 27′ 56″ N, 17° 26′ 23″ E.</w:t>
      </w:r>
    </w:p>
    <w:p w:rsidR="00B241BC" w:rsidRDefault="00B241BC" w:rsidP="00B241BC">
      <w:pPr>
        <w:spacing w:after="0"/>
        <w:rPr>
          <w:noProof/>
        </w:rPr>
      </w:pPr>
      <w:r>
        <w:rPr>
          <w:noProof/>
        </w:rPr>
        <w:drawing>
          <wp:inline distT="0" distB="0" distL="0" distR="0" wp14:anchorId="580B18D7" wp14:editId="3CC4D602">
            <wp:extent cx="190500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857375"/>
                    </a:xfrm>
                    <a:prstGeom prst="rect">
                      <a:avLst/>
                    </a:prstGeom>
                  </pic:spPr>
                </pic:pic>
              </a:graphicData>
            </a:graphic>
          </wp:inline>
        </w:drawing>
      </w:r>
      <w:r w:rsidRPr="00691CC0">
        <w:rPr>
          <w:noProof/>
        </w:rPr>
        <w:t xml:space="preserve"> </w:t>
      </w:r>
      <w:r>
        <w:rPr>
          <w:noProof/>
        </w:rPr>
        <w:drawing>
          <wp:inline distT="0" distB="0" distL="0" distR="0" wp14:anchorId="6652E5C3" wp14:editId="15455E48">
            <wp:extent cx="268945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8159" cy="1898427"/>
                    </a:xfrm>
                    <a:prstGeom prst="rect">
                      <a:avLst/>
                    </a:prstGeom>
                  </pic:spPr>
                </pic:pic>
              </a:graphicData>
            </a:graphic>
          </wp:inline>
        </w:drawing>
      </w:r>
    </w:p>
    <w:p w:rsidR="00B241BC" w:rsidRDefault="00B241BC" w:rsidP="00B241BC">
      <w:pPr>
        <w:spacing w:after="0"/>
        <w:rPr>
          <w:bCs/>
        </w:rPr>
      </w:pPr>
      <w:r>
        <w:rPr>
          <w:noProof/>
        </w:rPr>
        <w:t xml:space="preserve">Figs. 5-6. </w:t>
      </w:r>
      <w:r w:rsidRPr="00691CC0">
        <w:rPr>
          <w:noProof/>
        </w:rPr>
        <w:t>Maps of</w:t>
      </w:r>
      <w:r>
        <w:rPr>
          <w:noProof/>
        </w:rPr>
        <w:t xml:space="preserve"> </w:t>
      </w:r>
      <w:proofErr w:type="spellStart"/>
      <w:r w:rsidRPr="00556196">
        <w:rPr>
          <w:bCs/>
        </w:rPr>
        <w:t>Předmostí</w:t>
      </w:r>
      <w:proofErr w:type="spellEnd"/>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Pr>
          <w:bCs/>
        </w:rPr>
        <w:t xml:space="preserve"> from </w:t>
      </w:r>
      <w:hyperlink r:id="rId12" w:history="1">
        <w:r w:rsidR="00ED549C" w:rsidRPr="003476D9">
          <w:rPr>
            <w:rStyle w:val="Hyperlink"/>
            <w:bCs/>
          </w:rPr>
          <w:t>http://www.biologus.eu/Predmosti%20%20%20UR%20Karte_soubory/image004.gif</w:t>
        </w:r>
      </w:hyperlink>
    </w:p>
    <w:p w:rsidR="005F2D14" w:rsidRDefault="005F2D14" w:rsidP="005F2D14">
      <w:pPr>
        <w:spacing w:after="0"/>
        <w:rPr>
          <w:bCs/>
        </w:rPr>
      </w:pPr>
      <w:r>
        <w:rPr>
          <w:noProof/>
        </w:rPr>
        <w:drawing>
          <wp:inline distT="0" distB="0" distL="0" distR="0" wp14:anchorId="3F5D2F39" wp14:editId="74E97598">
            <wp:extent cx="5943600" cy="4679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9950"/>
                    </a:xfrm>
                    <a:prstGeom prst="rect">
                      <a:avLst/>
                    </a:prstGeom>
                  </pic:spPr>
                </pic:pic>
              </a:graphicData>
            </a:graphic>
          </wp:inline>
        </w:drawing>
      </w:r>
    </w:p>
    <w:p w:rsidR="005F2D14" w:rsidRDefault="005F2D14" w:rsidP="005F2D14">
      <w:pPr>
        <w:spacing w:after="0"/>
        <w:rPr>
          <w:bCs/>
        </w:rPr>
      </w:pPr>
      <w:r>
        <w:rPr>
          <w:bCs/>
        </w:rPr>
        <w:t xml:space="preserve">Fig. 7. Location of </w:t>
      </w:r>
      <w:proofErr w:type="spellStart"/>
      <w:r w:rsidRPr="00556196">
        <w:rPr>
          <w:bCs/>
        </w:rPr>
        <w:t>Předmostí</w:t>
      </w:r>
      <w:proofErr w:type="spellEnd"/>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Pr>
          <w:bCs/>
        </w:rPr>
        <w:t xml:space="preserve"> in the Pavlov Hills (</w:t>
      </w:r>
      <w:proofErr w:type="spellStart"/>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Brugère</w:t>
      </w:r>
      <w:proofErr w:type="spellEnd"/>
      <w:r w:rsidRPr="00796A5D">
        <w:fldChar w:fldCharType="end"/>
      </w:r>
      <w:r>
        <w:t xml:space="preserve"> </w:t>
      </w:r>
      <w:r w:rsidRPr="00796A5D">
        <w:t>2014</w:t>
      </w:r>
      <w:r>
        <w:t>)</w:t>
      </w:r>
      <w:r w:rsidRPr="00796A5D">
        <w:t>.</w:t>
      </w:r>
    </w:p>
    <w:p w:rsidR="005F2D14" w:rsidRDefault="005F2D14" w:rsidP="00B241BC">
      <w:pPr>
        <w:spacing w:after="0"/>
        <w:rPr>
          <w:bCs/>
        </w:rPr>
      </w:pPr>
    </w:p>
    <w:p w:rsidR="00ED549C" w:rsidRPr="00A52E6C" w:rsidRDefault="00ED549C" w:rsidP="00ED549C">
      <w:r w:rsidRPr="00A52E6C">
        <w:object w:dxaOrig="4316" w:dyaOrig="2591">
          <v:shape id="_x0000_i1026" type="#_x0000_t75" style="width:367.85pt;height:220.5pt" o:ole="">
            <v:imagedata r:id="rId14" o:title=""/>
          </v:shape>
          <o:OLEObject Type="Embed" ProgID="Unknown" ShapeID="_x0000_i1026" DrawAspect="Content" ObjectID="_1605604561" r:id="rId15"/>
        </w:object>
      </w:r>
    </w:p>
    <w:p w:rsidR="00ED549C" w:rsidRPr="00A75755" w:rsidRDefault="00ED549C" w:rsidP="00ED549C">
      <w:r w:rsidRPr="00A52E6C">
        <w:t xml:space="preserve">Fig. </w:t>
      </w:r>
      <w:r w:rsidR="005F2D14">
        <w:t>8</w:t>
      </w:r>
      <w:r w:rsidRPr="00A52E6C">
        <w:t xml:space="preserve">. Relief map showing Upper Paleolithic sites along the northeast side of the Pavlov Hills. Dark lines are the </w:t>
      </w:r>
      <w:proofErr w:type="spellStart"/>
      <w:r w:rsidRPr="00A52E6C">
        <w:t>Dyje</w:t>
      </w:r>
      <w:proofErr w:type="spellEnd"/>
      <w:r w:rsidRPr="00A52E6C">
        <w:t xml:space="preserve"> River after 1989</w:t>
      </w:r>
      <w:r w:rsidR="005F2D14">
        <w:t>.</w:t>
      </w:r>
    </w:p>
    <w:p w:rsidR="00B241BC" w:rsidRPr="00A75755" w:rsidRDefault="00B241BC" w:rsidP="00B241BC">
      <w:pPr>
        <w:spacing w:after="0"/>
      </w:pPr>
      <w:r w:rsidRPr="00556196">
        <w:rPr>
          <w:b/>
        </w:rPr>
        <w:t xml:space="preserve">GPS coordinates: </w:t>
      </w:r>
      <w:r w:rsidRPr="00556196">
        <w:t>49.467000N, 17.437000E</w:t>
      </w:r>
      <w:r w:rsidRPr="00A75755">
        <w:t>; 49° 27′ 56″ N, 17° 26′ 23″ E.</w:t>
      </w:r>
    </w:p>
    <w:p w:rsidR="00B241BC" w:rsidRPr="00556196" w:rsidRDefault="00B241BC" w:rsidP="00B241BC">
      <w:pPr>
        <w:spacing w:after="0"/>
      </w:pPr>
      <w:r w:rsidRPr="00556196">
        <w:rPr>
          <w:rStyle w:val="Strong"/>
        </w:rPr>
        <w:t>Cultural Affiliation:</w:t>
      </w:r>
      <w:r w:rsidRPr="00556196">
        <w:t xml:space="preserve"> </w:t>
      </w:r>
      <w:r>
        <w:t>Upper Paleolithic, Gravettian.</w:t>
      </w:r>
    </w:p>
    <w:p w:rsidR="00B241BC" w:rsidRPr="00556196" w:rsidRDefault="00B241BC" w:rsidP="00B241BC">
      <w:pPr>
        <w:spacing w:after="0"/>
      </w:pPr>
      <w:r w:rsidRPr="00556196">
        <w:rPr>
          <w:rStyle w:val="Strong"/>
        </w:rPr>
        <w:t>Medi</w:t>
      </w:r>
      <w:r>
        <w:rPr>
          <w:rStyle w:val="Strong"/>
        </w:rPr>
        <w:t>um</w:t>
      </w:r>
      <w:r w:rsidRPr="00556196">
        <w:rPr>
          <w:rStyle w:val="Strong"/>
        </w:rPr>
        <w:t>:</w:t>
      </w:r>
      <w:r w:rsidRPr="00556196">
        <w:t xml:space="preserve"> </w:t>
      </w:r>
      <w:r>
        <w:t>mammoth ivory.</w:t>
      </w:r>
    </w:p>
    <w:p w:rsidR="00B241BC" w:rsidRPr="00CE48A0" w:rsidRDefault="00B241BC" w:rsidP="00B241BC">
      <w:pPr>
        <w:spacing w:after="0"/>
        <w:rPr>
          <w:b/>
          <w:lang w:val="fr-FR"/>
        </w:rPr>
      </w:pPr>
      <w:proofErr w:type="gramStart"/>
      <w:r w:rsidRPr="00CE48A0">
        <w:rPr>
          <w:rStyle w:val="Strong"/>
          <w:lang w:val="fr-FR"/>
        </w:rPr>
        <w:t>Dimensions:</w:t>
      </w:r>
      <w:proofErr w:type="gramEnd"/>
      <w:r w:rsidRPr="00CE48A0">
        <w:rPr>
          <w:rStyle w:val="Strong"/>
          <w:lang w:val="fr-FR"/>
        </w:rPr>
        <w:t xml:space="preserve"> </w:t>
      </w:r>
      <w:r w:rsidRPr="00CE48A0">
        <w:rPr>
          <w:rStyle w:val="Strong"/>
          <w:b w:val="0"/>
          <w:lang w:val="fr-FR"/>
        </w:rPr>
        <w:t>L 11.6 mm, H 10 mm, W 3.3</w:t>
      </w:r>
      <w:r w:rsidRPr="00CE48A0">
        <w:rPr>
          <w:b/>
          <w:lang w:val="fr-FR"/>
        </w:rPr>
        <w:t xml:space="preserve"> </w:t>
      </w:r>
      <w:proofErr w:type="spellStart"/>
      <w:r w:rsidRPr="00CE48A0">
        <w:rPr>
          <w:b/>
          <w:lang w:val="fr-FR"/>
        </w:rPr>
        <w:t>mm.</w:t>
      </w:r>
      <w:proofErr w:type="spellEnd"/>
    </w:p>
    <w:p w:rsidR="00B241BC" w:rsidRDefault="00B241BC" w:rsidP="00B241BC">
      <w:pPr>
        <w:spacing w:after="0"/>
      </w:pPr>
      <w:r w:rsidRPr="009B12A8">
        <w:rPr>
          <w:b/>
        </w:rPr>
        <w:t xml:space="preserve">Condition: </w:t>
      </w:r>
      <w:r>
        <w:t>museum replica in resin.</w:t>
      </w:r>
    </w:p>
    <w:p w:rsidR="00B241BC" w:rsidRPr="00556196" w:rsidRDefault="00B241BC" w:rsidP="00B241BC">
      <w:pPr>
        <w:spacing w:after="0"/>
        <w:rPr>
          <w:b/>
          <w:bCs/>
        </w:rPr>
      </w:pPr>
      <w:r w:rsidRPr="009B12A8">
        <w:rPr>
          <w:b/>
        </w:rPr>
        <w:t>Provenance:</w:t>
      </w:r>
      <w:r>
        <w:t xml:space="preserve"> </w:t>
      </w:r>
      <w:r w:rsidRPr="008D02EE">
        <w:rPr>
          <w:bCs/>
        </w:rPr>
        <w:t>Moravian</w:t>
      </w:r>
      <w:r w:rsidRPr="008D02EE">
        <w:t xml:space="preserve"> </w:t>
      </w:r>
      <w:r>
        <w:t>Museum in Brno, acc. no. 11671.</w:t>
      </w:r>
    </w:p>
    <w:p w:rsidR="00B241BC" w:rsidRPr="00556196" w:rsidRDefault="00B241BC" w:rsidP="00B241BC">
      <w:pPr>
        <w:pStyle w:val="NormalWeb"/>
        <w:spacing w:before="0" w:beforeAutospacing="0" w:after="0" w:afterAutospacing="0"/>
      </w:pPr>
      <w:r w:rsidRPr="00556196">
        <w:rPr>
          <w:b/>
          <w:bCs/>
        </w:rPr>
        <w:t xml:space="preserve">Discussion: </w:t>
      </w:r>
    </w:p>
    <w:p w:rsidR="00B241BC" w:rsidRPr="00C222D2" w:rsidRDefault="00B241BC" w:rsidP="00B241BC">
      <w:pPr>
        <w:pStyle w:val="NormalWeb"/>
        <w:spacing w:before="0" w:beforeAutospacing="0" w:after="0" w:afterAutospacing="0"/>
        <w:ind w:firstLine="720"/>
      </w:pPr>
      <w:r w:rsidRPr="00556196">
        <w:t>Accompanying these burned bones were bone tools, figurines and bone artifacts with engravings of animals. The graves that accompanied these sites were few—only about 20. Since these sites were occupied for an extended period it is unexplained why there were only 20 burials (primary, secondary and incomplete) and no red ocher,</w:t>
      </w:r>
      <w:r>
        <w:t xml:space="preserve"> usually</w:t>
      </w:r>
      <w:r w:rsidRPr="00556196">
        <w:t xml:space="preserve"> a sign of ritual internments, which led some early researchers to conclude that these burials were evidence of cannibalism</w:t>
      </w:r>
      <w:r>
        <w:t xml:space="preserve"> a position that has been challenged more recently</w:t>
      </w:r>
      <w:r w:rsidRPr="00556196">
        <w:t>.</w:t>
      </w:r>
    </w:p>
    <w:p w:rsidR="00B241BC" w:rsidRDefault="00B241BC" w:rsidP="00B241BC">
      <w:pPr>
        <w:spacing w:after="0" w:line="240" w:lineRule="auto"/>
        <w:ind w:firstLine="720"/>
        <w:rPr>
          <w:rStyle w:val="mw-mmv-title"/>
        </w:rPr>
      </w:pPr>
      <w:r w:rsidRPr="00C222D2">
        <w:rPr>
          <w:rFonts w:eastAsia="Times New Roman"/>
        </w:rPr>
        <w:t xml:space="preserve">Excavations at </w:t>
      </w:r>
      <w:proofErr w:type="spellStart"/>
      <w:r w:rsidRPr="00556196">
        <w:rPr>
          <w:bCs/>
        </w:rPr>
        <w:t>Předmostí</w:t>
      </w:r>
      <w:proofErr w:type="spellEnd"/>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sidRPr="00C222D2">
        <w:rPr>
          <w:rFonts w:eastAsia="Times New Roman"/>
        </w:rPr>
        <w:t xml:space="preserve"> conducted between 1884 and 1930</w:t>
      </w:r>
      <w:r w:rsidRPr="00556196">
        <w:rPr>
          <w:rFonts w:eastAsia="Times New Roman"/>
        </w:rPr>
        <w:t xml:space="preserve"> were lost in World War II and the recent excavator</w:t>
      </w:r>
      <w:r>
        <w:rPr>
          <w:rFonts w:eastAsia="Times New Roman"/>
        </w:rPr>
        <w:t>,</w:t>
      </w:r>
      <w:r w:rsidRPr="00556196">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Svoboda</w:t>
      </w:r>
      <w:r>
        <w:rPr>
          <w:rFonts w:eastAsia="Times New Roman"/>
        </w:rPr>
        <w:t>,</w:t>
      </w:r>
      <w:r w:rsidRPr="00556196">
        <w:rPr>
          <w:rStyle w:val="mw-mmv-title"/>
        </w:rPr>
        <w:t xml:space="preserve"> has attempted to collate these lost collections by comparing their recorded taphonomy with that of recent excavations (</w:t>
      </w:r>
      <w:r w:rsidRPr="00C222D2">
        <w:rPr>
          <w:rFonts w:eastAsia="Times New Roman"/>
        </w:rPr>
        <w:t>Svoboda</w:t>
      </w:r>
      <w:r w:rsidRPr="00556196">
        <w:rPr>
          <w:rFonts w:eastAsia="Times New Roman"/>
        </w:rPr>
        <w:t xml:space="preserve"> 2007, </w:t>
      </w:r>
      <w:r w:rsidRPr="00C222D2">
        <w:rPr>
          <w:rFonts w:eastAsia="Times New Roman"/>
        </w:rPr>
        <w:t>2008</w:t>
      </w:r>
      <w:r w:rsidRPr="00556196">
        <w:rPr>
          <w:rFonts w:eastAsia="Times New Roman"/>
        </w:rPr>
        <w:t>)</w:t>
      </w:r>
      <w:r w:rsidRPr="00556196">
        <w:rPr>
          <w:rStyle w:val="mw-mmv-title"/>
        </w:rPr>
        <w:t>.</w:t>
      </w:r>
    </w:p>
    <w:p w:rsidR="00A61E74" w:rsidRPr="00C222D2" w:rsidRDefault="00A61E74" w:rsidP="00B241BC">
      <w:pPr>
        <w:spacing w:after="0" w:line="240" w:lineRule="auto"/>
        <w:ind w:firstLine="720"/>
        <w:rPr>
          <w:rFonts w:eastAsia="Times New Roman"/>
        </w:rPr>
      </w:pPr>
      <w:r>
        <w:rPr>
          <w:lang w:val="en"/>
        </w:rPr>
        <w:t xml:space="preserve">“The origin of Gravettian is seen as a more complex process than was thought before, involving an impact of industries with backed blades and </w:t>
      </w:r>
      <w:proofErr w:type="spellStart"/>
      <w:r>
        <w:rPr>
          <w:lang w:val="en"/>
        </w:rPr>
        <w:t>bladelets</w:t>
      </w:r>
      <w:proofErr w:type="spellEnd"/>
      <w:r>
        <w:rPr>
          <w:lang w:val="en"/>
        </w:rPr>
        <w:t xml:space="preserve"> from the eastern Mediterranean (</w:t>
      </w:r>
      <w:proofErr w:type="spellStart"/>
      <w:r>
        <w:rPr>
          <w:lang w:val="en"/>
        </w:rPr>
        <w:t>Ahmarian</w:t>
      </w:r>
      <w:proofErr w:type="spellEnd"/>
      <w:r>
        <w:rPr>
          <w:lang w:val="en"/>
        </w:rPr>
        <w:t xml:space="preserve">, </w:t>
      </w:r>
      <w:proofErr w:type="spellStart"/>
      <w:r>
        <w:rPr>
          <w:lang w:val="en"/>
        </w:rPr>
        <w:t>Lagaman</w:t>
      </w:r>
      <w:proofErr w:type="spellEnd"/>
      <w:r>
        <w:rPr>
          <w:lang w:val="en"/>
        </w:rPr>
        <w:t xml:space="preserve">, </w:t>
      </w:r>
      <w:proofErr w:type="spellStart"/>
      <w:r>
        <w:rPr>
          <w:lang w:val="en"/>
        </w:rPr>
        <w:t>Dabba</w:t>
      </w:r>
      <w:proofErr w:type="spellEnd"/>
      <w:r>
        <w:rPr>
          <w:lang w:val="en"/>
        </w:rPr>
        <w:t>, beginning before 40 </w:t>
      </w:r>
      <w:proofErr w:type="spellStart"/>
      <w:r>
        <w:rPr>
          <w:lang w:val="en"/>
        </w:rPr>
        <w:t>ky</w:t>
      </w:r>
      <w:proofErr w:type="spellEnd"/>
      <w:r>
        <w:rPr>
          <w:lang w:val="en"/>
        </w:rPr>
        <w:t> BP). After its establishment in Europe, the Danubian Gravettian is ordered into earlier Pavlovian stage (30-25 </w:t>
      </w:r>
      <w:proofErr w:type="spellStart"/>
      <w:r>
        <w:rPr>
          <w:lang w:val="en"/>
        </w:rPr>
        <w:t>ky</w:t>
      </w:r>
      <w:proofErr w:type="spellEnd"/>
      <w:r>
        <w:rPr>
          <w:lang w:val="en"/>
        </w:rPr>
        <w:t xml:space="preserve"> BP), concentrated in the Austrian-Moravian-South Polish corridor, and later </w:t>
      </w:r>
      <w:proofErr w:type="spellStart"/>
      <w:r>
        <w:rPr>
          <w:lang w:val="en"/>
        </w:rPr>
        <w:t>Willendorf-Kostenkian</w:t>
      </w:r>
      <w:proofErr w:type="spellEnd"/>
      <w:r>
        <w:rPr>
          <w:lang w:val="en"/>
        </w:rPr>
        <w:t xml:space="preserve"> stage (25-20 </w:t>
      </w:r>
      <w:proofErr w:type="spellStart"/>
      <w:r>
        <w:rPr>
          <w:lang w:val="en"/>
        </w:rPr>
        <w:t>ky</w:t>
      </w:r>
      <w:proofErr w:type="spellEnd"/>
      <w:r>
        <w:rPr>
          <w:lang w:val="en"/>
        </w:rPr>
        <w:t xml:space="preserve"> BP), widely dispersed over central and eastern Europe” </w:t>
      </w:r>
      <w:r w:rsidRPr="00A61E74">
        <w:rPr>
          <w:lang w:val="en"/>
        </w:rPr>
        <w:t>(</w:t>
      </w:r>
      <w:r w:rsidRPr="00A61E74">
        <w:rPr>
          <w:rStyle w:val="familyname"/>
          <w:bCs/>
        </w:rPr>
        <w:t>Svoboda 2007)</w:t>
      </w:r>
      <w:r w:rsidRPr="00A61E74">
        <w:rPr>
          <w:lang w:val="en"/>
        </w:rPr>
        <w:t>.</w:t>
      </w:r>
    </w:p>
    <w:p w:rsidR="00B241BC" w:rsidRPr="00556196" w:rsidRDefault="00B241BC" w:rsidP="00B241BC">
      <w:pPr>
        <w:spacing w:after="0"/>
        <w:rPr>
          <w:b/>
          <w:bCs/>
        </w:rPr>
      </w:pPr>
    </w:p>
    <w:p w:rsidR="0001348E" w:rsidRDefault="0001348E" w:rsidP="0001348E">
      <w:pPr>
        <w:spacing w:after="0"/>
        <w:rPr>
          <w:b/>
          <w:bCs/>
        </w:rPr>
      </w:pPr>
      <w:r w:rsidRPr="00556196">
        <w:rPr>
          <w:b/>
          <w:bCs/>
        </w:rPr>
        <w:t>References:</w:t>
      </w:r>
    </w:p>
    <w:p w:rsidR="00B241BC" w:rsidRDefault="00CE48A0" w:rsidP="0001348E">
      <w:hyperlink r:id="rId16" w:anchor="!" w:history="1">
        <w:proofErr w:type="spellStart"/>
        <w:r w:rsidR="0001348E" w:rsidRPr="00796A5D">
          <w:rPr>
            <w:rStyle w:val="Hyperlink"/>
            <w:color w:val="000000" w:themeColor="text1"/>
            <w:u w:val="none"/>
          </w:rPr>
          <w:t>Brugère</w:t>
        </w:r>
        <w:proofErr w:type="spellEnd"/>
      </w:hyperlink>
      <w:r w:rsidR="0001348E" w:rsidRPr="00796A5D">
        <w:t xml:space="preserve">, Alexis. 2014. </w:t>
      </w:r>
      <w:r w:rsidR="0001348E">
        <w:t>“</w:t>
      </w:r>
      <w:r w:rsidR="0001348E" w:rsidRPr="00796A5D">
        <w:t>Not one but two mammoth hunting strategies in the Gravettian of the Pavlov Hills area (southern Moravia),</w:t>
      </w:r>
      <w:r w:rsidR="0001348E">
        <w:t>”</w:t>
      </w:r>
      <w:r w:rsidR="0001348E" w:rsidRPr="00796A5D">
        <w:t xml:space="preserve"> </w:t>
      </w:r>
      <w:hyperlink r:id="rId17" w:tooltip="Go to Quaternary International on ScienceDirect" w:history="1">
        <w:r w:rsidR="0001348E" w:rsidRPr="00796A5D">
          <w:rPr>
            <w:rStyle w:val="Hyperlink"/>
            <w:i/>
            <w:color w:val="000000" w:themeColor="text1"/>
            <w:u w:val="none"/>
          </w:rPr>
          <w:t>Quaternary International</w:t>
        </w:r>
      </w:hyperlink>
      <w:r w:rsidR="0001348E" w:rsidRPr="00796A5D">
        <w:t xml:space="preserve">, </w:t>
      </w:r>
      <w:hyperlink r:id="rId18" w:tooltip="Go to table of contents for this volume/issue" w:history="1">
        <w:r w:rsidR="0001348E" w:rsidRPr="00796A5D">
          <w:rPr>
            <w:rStyle w:val="Hyperlink"/>
            <w:color w:val="000000" w:themeColor="text1"/>
            <w:u w:val="none"/>
          </w:rPr>
          <w:t> 337</w:t>
        </w:r>
      </w:hyperlink>
      <w:r w:rsidR="0001348E" w:rsidRPr="00796A5D">
        <w:t xml:space="preserve">, 9 July, </w:t>
      </w:r>
      <w:r w:rsidR="0001348E">
        <w:t>pp.</w:t>
      </w:r>
      <w:r w:rsidR="0001348E" w:rsidRPr="00796A5D">
        <w:t xml:space="preserve"> 80-89.</w:t>
      </w:r>
    </w:p>
    <w:p w:rsidR="00B241BC" w:rsidRDefault="00B241BC" w:rsidP="00B241BC">
      <w:pPr>
        <w:spacing w:after="0"/>
        <w:rPr>
          <w:rFonts w:eastAsia="Times New Roman"/>
        </w:rPr>
      </w:pPr>
      <w:proofErr w:type="spellStart"/>
      <w:r w:rsidRPr="00CE48A0">
        <w:rPr>
          <w:rFonts w:eastAsia="Times New Roman"/>
          <w:bdr w:val="none" w:sz="0" w:space="0" w:color="auto" w:frame="1"/>
          <w:lang w:val="fr-FR"/>
        </w:rPr>
        <w:t>Germonpré</w:t>
      </w:r>
      <w:proofErr w:type="spellEnd"/>
      <w:r w:rsidRPr="00CE48A0">
        <w:rPr>
          <w:rFonts w:eastAsia="Times New Roman"/>
          <w:bdr w:val="none" w:sz="0" w:space="0" w:color="auto" w:frame="1"/>
          <w:lang w:val="fr-FR"/>
        </w:rPr>
        <w:t xml:space="preserve">, </w:t>
      </w:r>
      <w:proofErr w:type="spellStart"/>
      <w:r w:rsidRPr="00CE48A0">
        <w:rPr>
          <w:rFonts w:eastAsia="Times New Roman"/>
          <w:bdr w:val="none" w:sz="0" w:space="0" w:color="auto" w:frame="1"/>
          <w:lang w:val="fr-FR"/>
        </w:rPr>
        <w:t>Mietje</w:t>
      </w:r>
      <w:proofErr w:type="spellEnd"/>
      <w:r w:rsidRPr="00CE48A0">
        <w:rPr>
          <w:rFonts w:eastAsia="Times New Roman"/>
          <w:bdr w:val="none" w:sz="0" w:space="0" w:color="auto" w:frame="1"/>
          <w:lang w:val="fr-FR"/>
        </w:rPr>
        <w:t xml:space="preserve">, Martina </w:t>
      </w:r>
      <w:proofErr w:type="spellStart"/>
      <w:r w:rsidRPr="00CE48A0">
        <w:rPr>
          <w:rFonts w:eastAsia="Times New Roman"/>
          <w:bdr w:val="none" w:sz="0" w:space="0" w:color="auto" w:frame="1"/>
          <w:lang w:val="fr-FR"/>
        </w:rPr>
        <w:t>Lázničková-Galetová</w:t>
      </w:r>
      <w:proofErr w:type="spellEnd"/>
      <w:r w:rsidRPr="00CE48A0">
        <w:rPr>
          <w:rFonts w:eastAsia="Times New Roman"/>
          <w:lang w:val="fr-FR"/>
        </w:rPr>
        <w:t xml:space="preserve">, </w:t>
      </w:r>
      <w:proofErr w:type="spellStart"/>
      <w:r w:rsidRPr="00CE48A0">
        <w:rPr>
          <w:rFonts w:eastAsia="Times New Roman"/>
          <w:bdr w:val="none" w:sz="0" w:space="0" w:color="auto" w:frame="1"/>
          <w:lang w:val="fr-FR"/>
        </w:rPr>
        <w:t>Mikhail</w:t>
      </w:r>
      <w:proofErr w:type="spellEnd"/>
      <w:r w:rsidRPr="00CE48A0">
        <w:rPr>
          <w:rFonts w:eastAsia="Times New Roman"/>
          <w:bdr w:val="none" w:sz="0" w:space="0" w:color="auto" w:frame="1"/>
          <w:lang w:val="fr-FR"/>
        </w:rPr>
        <w:t xml:space="preserve"> V. </w:t>
      </w:r>
      <w:proofErr w:type="spellStart"/>
      <w:r w:rsidRPr="00CE48A0">
        <w:rPr>
          <w:rFonts w:eastAsia="Times New Roman"/>
          <w:bdr w:val="none" w:sz="0" w:space="0" w:color="auto" w:frame="1"/>
          <w:lang w:val="fr-FR"/>
        </w:rPr>
        <w:t>Sablin</w:t>
      </w:r>
      <w:proofErr w:type="spellEnd"/>
      <w:r w:rsidRPr="00CE48A0">
        <w:rPr>
          <w:rFonts w:eastAsia="Times New Roman"/>
          <w:lang w:val="fr-FR"/>
        </w:rPr>
        <w:t xml:space="preserve">. </w:t>
      </w:r>
      <w:r w:rsidRPr="00C222D2">
        <w:rPr>
          <w:rFonts w:eastAsia="Times New Roman"/>
        </w:rPr>
        <w:t>2012.</w:t>
      </w:r>
      <w:r w:rsidRPr="00556196">
        <w:rPr>
          <w:rFonts w:eastAsia="Times New Roman"/>
        </w:rPr>
        <w:t xml:space="preserve"> </w:t>
      </w:r>
      <w:r>
        <w:rPr>
          <w:rFonts w:eastAsia="Times New Roman"/>
        </w:rPr>
        <w:t>“</w:t>
      </w:r>
      <w:proofErr w:type="spellStart"/>
      <w:r w:rsidRPr="00556196">
        <w:rPr>
          <w:rFonts w:eastAsia="Times New Roman"/>
        </w:rPr>
        <w:t>Palaeolithic</w:t>
      </w:r>
      <w:proofErr w:type="spellEnd"/>
      <w:r w:rsidRPr="00556196">
        <w:rPr>
          <w:rFonts w:eastAsia="Times New Roman"/>
        </w:rPr>
        <w:t xml:space="preserve"> dog skulls at the Gravettian </w:t>
      </w:r>
      <w:r w:rsidRPr="00556196">
        <w:rPr>
          <w:rStyle w:val="mw-mmv-title"/>
        </w:rPr>
        <w:t xml:space="preserve">Předmostí </w:t>
      </w:r>
      <w:r w:rsidRPr="00556196">
        <w:rPr>
          <w:rFonts w:eastAsia="Times New Roman"/>
        </w:rPr>
        <w:t>site, the Czech Republic</w:t>
      </w:r>
      <w:r>
        <w:rPr>
          <w:rFonts w:eastAsia="Times New Roman"/>
        </w:rPr>
        <w:t>,”</w:t>
      </w:r>
      <w:r w:rsidRPr="00C222D2">
        <w:rPr>
          <w:rFonts w:eastAsia="Times New Roman"/>
        </w:rPr>
        <w:t xml:space="preserve"> </w:t>
      </w:r>
      <w:r w:rsidRPr="00C222D2">
        <w:rPr>
          <w:rFonts w:eastAsia="Times New Roman"/>
          <w:i/>
          <w:iCs/>
        </w:rPr>
        <w:t>Journal of Archaeological Science</w:t>
      </w:r>
      <w:r>
        <w:rPr>
          <w:rFonts w:eastAsia="Times New Roman"/>
          <w:i/>
          <w:iCs/>
        </w:rPr>
        <w:t>,</w:t>
      </w:r>
      <w:r w:rsidRPr="00C222D2">
        <w:rPr>
          <w:rFonts w:eastAsia="Times New Roman"/>
        </w:rPr>
        <w:t xml:space="preserve"> 39(1):184-202.</w:t>
      </w:r>
    </w:p>
    <w:p w:rsidR="00B241BC" w:rsidRPr="00C222D2" w:rsidRDefault="00B241BC" w:rsidP="00B241BC">
      <w:pPr>
        <w:spacing w:after="0"/>
      </w:pPr>
    </w:p>
    <w:p w:rsidR="00B241BC" w:rsidRDefault="00B241BC" w:rsidP="00B241BC">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2007. </w:t>
      </w:r>
      <w:r>
        <w:rPr>
          <w:rFonts w:eastAsia="Times New Roman"/>
        </w:rPr>
        <w:t>“</w:t>
      </w:r>
      <w:r w:rsidRPr="00C222D2">
        <w:rPr>
          <w:rFonts w:eastAsia="Times New Roman"/>
        </w:rPr>
        <w:t>The Gravettian on the Middle Danube</w:t>
      </w:r>
      <w:r>
        <w:rPr>
          <w:rFonts w:eastAsia="Times New Roman"/>
        </w:rPr>
        <w:t>,”</w:t>
      </w:r>
      <w:r w:rsidRPr="00C222D2">
        <w:rPr>
          <w:rFonts w:eastAsia="Times New Roman"/>
        </w:rPr>
        <w:t xml:space="preserve"> </w:t>
      </w:r>
      <w:proofErr w:type="spellStart"/>
      <w:r w:rsidRPr="00C222D2">
        <w:rPr>
          <w:rFonts w:eastAsia="Times New Roman"/>
          <w:i/>
          <w:iCs/>
        </w:rPr>
        <w:t>Paleobiology</w:t>
      </w:r>
      <w:proofErr w:type="spellEnd"/>
      <w:r>
        <w:rPr>
          <w:rFonts w:eastAsia="Times New Roman"/>
          <w:i/>
          <w:iCs/>
        </w:rPr>
        <w:t>,</w:t>
      </w:r>
      <w:r w:rsidRPr="00C222D2">
        <w:rPr>
          <w:rFonts w:eastAsia="Times New Roman"/>
        </w:rPr>
        <w:t xml:space="preserve"> 19:203-220.</w:t>
      </w:r>
    </w:p>
    <w:p w:rsidR="00B241BC" w:rsidRPr="00C222D2" w:rsidRDefault="00B241BC" w:rsidP="00B241BC">
      <w:pPr>
        <w:spacing w:after="0" w:line="240" w:lineRule="auto"/>
        <w:rPr>
          <w:rFonts w:eastAsia="Times New Roman"/>
        </w:rPr>
      </w:pPr>
    </w:p>
    <w:p w:rsidR="00B241BC" w:rsidRDefault="00B241BC" w:rsidP="00B241BC">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2008. </w:t>
      </w:r>
      <w:r>
        <w:rPr>
          <w:rFonts w:eastAsia="Times New Roman"/>
        </w:rPr>
        <w:t>“</w:t>
      </w:r>
      <w:r w:rsidRPr="00556196">
        <w:rPr>
          <w:rFonts w:eastAsia="Times New Roman"/>
        </w:rPr>
        <w:t xml:space="preserve">The Upper Paleolithic burial area at </w:t>
      </w:r>
      <w:r w:rsidRPr="00556196">
        <w:rPr>
          <w:rStyle w:val="mw-mmv-title"/>
        </w:rPr>
        <w:t>Před</w:t>
      </w:r>
      <w:r>
        <w:rPr>
          <w:rStyle w:val="mw-mmv-title"/>
        </w:rPr>
        <w:t>mostí</w:t>
      </w:r>
      <w:r w:rsidRPr="00556196">
        <w:rPr>
          <w:rFonts w:eastAsia="Times New Roman"/>
        </w:rPr>
        <w:softHyphen/>
        <w:t>: ritual and taphonomy</w:t>
      </w:r>
      <w:r>
        <w:rPr>
          <w:rFonts w:eastAsia="Times New Roman"/>
        </w:rPr>
        <w:t>,”</w:t>
      </w:r>
      <w:r w:rsidRPr="00C222D2">
        <w:rPr>
          <w:rFonts w:eastAsia="Times New Roman"/>
        </w:rPr>
        <w:t xml:space="preserve"> </w:t>
      </w:r>
      <w:r w:rsidRPr="00C222D2">
        <w:rPr>
          <w:rFonts w:eastAsia="Times New Roman"/>
          <w:i/>
          <w:iCs/>
        </w:rPr>
        <w:t>Journal of Human Evolution</w:t>
      </w:r>
      <w:r>
        <w:rPr>
          <w:rFonts w:eastAsia="Times New Roman"/>
          <w:i/>
          <w:iCs/>
        </w:rPr>
        <w:t>,</w:t>
      </w:r>
      <w:r w:rsidRPr="00C222D2">
        <w:rPr>
          <w:rFonts w:eastAsia="Times New Roman"/>
        </w:rPr>
        <w:t xml:space="preserve"> 54(1):15-33.</w:t>
      </w:r>
    </w:p>
    <w:p w:rsidR="00B241BC" w:rsidRPr="00556196" w:rsidRDefault="00B241BC" w:rsidP="00B241BC">
      <w:pPr>
        <w:spacing w:after="0" w:line="240" w:lineRule="auto"/>
        <w:rPr>
          <w:rFonts w:eastAsia="Times New Roman"/>
        </w:rPr>
      </w:pPr>
    </w:p>
    <w:p w:rsidR="00B241BC" w:rsidRPr="00C222D2" w:rsidRDefault="00B241BC" w:rsidP="00B241BC">
      <w:pPr>
        <w:spacing w:after="0" w:line="240" w:lineRule="auto"/>
        <w:rPr>
          <w:rFonts w:eastAsia="Times New Roman"/>
        </w:rPr>
      </w:pPr>
      <w:proofErr w:type="spellStart"/>
      <w:r w:rsidRPr="00556196">
        <w:rPr>
          <w:rFonts w:eastAsia="Times New Roman"/>
          <w:bdr w:val="none" w:sz="0" w:space="0" w:color="auto" w:frame="1"/>
        </w:rPr>
        <w:t>Velemínská</w:t>
      </w:r>
      <w:proofErr w:type="spellEnd"/>
      <w:r w:rsidRPr="00556196">
        <w:rPr>
          <w:rFonts w:eastAsia="Times New Roman"/>
        </w:rPr>
        <w:t xml:space="preserve">, </w:t>
      </w:r>
      <w:r w:rsidRPr="00556196">
        <w:rPr>
          <w:rFonts w:eastAsia="Times New Roman"/>
          <w:bdr w:val="none" w:sz="0" w:space="0" w:color="auto" w:frame="1"/>
        </w:rPr>
        <w:t>J.</w:t>
      </w:r>
      <w:r w:rsidRPr="00556196">
        <w:rPr>
          <w:rFonts w:eastAsia="Times New Roman"/>
        </w:rPr>
        <w:t xml:space="preserve">, </w:t>
      </w:r>
      <w:r w:rsidRPr="00556196">
        <w:rPr>
          <w:rFonts w:eastAsia="Times New Roman"/>
          <w:bdr w:val="none" w:sz="0" w:space="0" w:color="auto" w:frame="1"/>
        </w:rPr>
        <w:t xml:space="preserve">J. </w:t>
      </w:r>
      <w:proofErr w:type="spellStart"/>
      <w:r w:rsidRPr="00556196">
        <w:rPr>
          <w:rFonts w:eastAsia="Times New Roman"/>
          <w:bdr w:val="none" w:sz="0" w:space="0" w:color="auto" w:frame="1"/>
        </w:rPr>
        <w:t>Brůžek</w:t>
      </w:r>
      <w:proofErr w:type="spellEnd"/>
      <w:r w:rsidRPr="00556196">
        <w:rPr>
          <w:rFonts w:eastAsia="Times New Roman"/>
        </w:rPr>
        <w:t xml:space="preserve">, </w:t>
      </w:r>
      <w:r w:rsidRPr="00556196">
        <w:rPr>
          <w:rFonts w:eastAsia="Times New Roman"/>
          <w:bdr w:val="none" w:sz="0" w:space="0" w:color="auto" w:frame="1"/>
        </w:rPr>
        <w:t xml:space="preserve"> P. </w:t>
      </w:r>
      <w:proofErr w:type="spellStart"/>
      <w:r w:rsidRPr="00556196">
        <w:rPr>
          <w:rFonts w:eastAsia="Times New Roman"/>
          <w:bdr w:val="none" w:sz="0" w:space="0" w:color="auto" w:frame="1"/>
        </w:rPr>
        <w:t>Velemínský</w:t>
      </w:r>
      <w:proofErr w:type="spellEnd"/>
      <w:r w:rsidRPr="00556196">
        <w:rPr>
          <w:rFonts w:eastAsia="Times New Roman"/>
        </w:rPr>
        <w:t xml:space="preserve">, </w:t>
      </w:r>
      <w:r w:rsidRPr="00556196">
        <w:rPr>
          <w:rFonts w:eastAsia="Times New Roman"/>
          <w:bdr w:val="none" w:sz="0" w:space="0" w:color="auto" w:frame="1"/>
        </w:rPr>
        <w:t xml:space="preserve">L. </w:t>
      </w:r>
      <w:proofErr w:type="spellStart"/>
      <w:r w:rsidRPr="00556196">
        <w:rPr>
          <w:rFonts w:eastAsia="Times New Roman"/>
          <w:bdr w:val="none" w:sz="0" w:space="0" w:color="auto" w:frame="1"/>
        </w:rPr>
        <w:t>Bigoni</w:t>
      </w:r>
      <w:proofErr w:type="spellEnd"/>
      <w:r w:rsidRPr="00556196">
        <w:rPr>
          <w:rFonts w:eastAsia="Times New Roman"/>
        </w:rPr>
        <w:t xml:space="preserve">, </w:t>
      </w:r>
      <w:r w:rsidRPr="00556196">
        <w:rPr>
          <w:rFonts w:eastAsia="Times New Roman"/>
          <w:bdr w:val="none" w:sz="0" w:space="0" w:color="auto" w:frame="1"/>
        </w:rPr>
        <w:t xml:space="preserve">A. </w:t>
      </w:r>
      <w:proofErr w:type="spellStart"/>
      <w:r w:rsidRPr="00556196">
        <w:rPr>
          <w:rFonts w:eastAsia="Times New Roman"/>
          <w:bdr w:val="none" w:sz="0" w:space="0" w:color="auto" w:frame="1"/>
        </w:rPr>
        <w:t>Šefčáková</w:t>
      </w:r>
      <w:proofErr w:type="spellEnd"/>
      <w:r w:rsidRPr="00556196">
        <w:rPr>
          <w:rFonts w:eastAsia="Times New Roman"/>
        </w:rPr>
        <w:t xml:space="preserve">, </w:t>
      </w:r>
      <w:hyperlink r:id="rId19" w:history="1">
        <w:r w:rsidRPr="00556196">
          <w:rPr>
            <w:rFonts w:eastAsia="Times New Roman"/>
            <w:bdr w:val="none" w:sz="0" w:space="0" w:color="auto" w:frame="1"/>
          </w:rPr>
          <w:t>S. Katina</w:t>
        </w:r>
      </w:hyperlink>
      <w:r w:rsidRPr="00556196">
        <w:rPr>
          <w:rFonts w:eastAsia="Times New Roman"/>
        </w:rPr>
        <w:t xml:space="preserve">. </w:t>
      </w:r>
      <w:r w:rsidRPr="00C222D2">
        <w:rPr>
          <w:rFonts w:eastAsia="Times New Roman"/>
        </w:rPr>
        <w:t xml:space="preserve">2008. </w:t>
      </w:r>
      <w:r>
        <w:rPr>
          <w:rFonts w:eastAsia="Times New Roman"/>
        </w:rPr>
        <w:t>“</w:t>
      </w:r>
      <w:r w:rsidRPr="00556196">
        <w:rPr>
          <w:rFonts w:eastAsia="Times New Roman"/>
        </w:rPr>
        <w:t xml:space="preserve">Variability of the Upper </w:t>
      </w:r>
      <w:proofErr w:type="spellStart"/>
      <w:r w:rsidRPr="00556196">
        <w:rPr>
          <w:rFonts w:eastAsia="Times New Roman"/>
        </w:rPr>
        <w:t>Palaeolithic</w:t>
      </w:r>
      <w:proofErr w:type="spellEnd"/>
      <w:r w:rsidRPr="00556196">
        <w:rPr>
          <w:rFonts w:eastAsia="Times New Roman"/>
        </w:rPr>
        <w:t xml:space="preserve"> skulls from </w:t>
      </w:r>
      <w:proofErr w:type="spellStart"/>
      <w:r w:rsidRPr="00556196">
        <w:rPr>
          <w:rStyle w:val="mw-mmv-title"/>
        </w:rPr>
        <w:t>Předmostí</w:t>
      </w:r>
      <w:proofErr w:type="spellEnd"/>
      <w:r w:rsidRPr="00556196">
        <w:rPr>
          <w:rStyle w:val="mw-mmv-title"/>
        </w:rPr>
        <w:t xml:space="preserve"> </w:t>
      </w:r>
      <w:r w:rsidRPr="00556196">
        <w:rPr>
          <w:rFonts w:eastAsia="Times New Roman"/>
        </w:rPr>
        <w:softHyphen/>
        <w:t xml:space="preserve"> near </w:t>
      </w:r>
      <w:proofErr w:type="spellStart"/>
      <w:r w:rsidRPr="00556196">
        <w:rPr>
          <w:rFonts w:eastAsia="Times New Roman"/>
        </w:rPr>
        <w:t>Prerov</w:t>
      </w:r>
      <w:proofErr w:type="spellEnd"/>
      <w:r w:rsidRPr="00556196">
        <w:rPr>
          <w:rFonts w:eastAsia="Times New Roman"/>
        </w:rPr>
        <w:t xml:space="preserve"> (Czech Republic): </w:t>
      </w:r>
      <w:proofErr w:type="spellStart"/>
      <w:r w:rsidRPr="00556196">
        <w:rPr>
          <w:rFonts w:eastAsia="Times New Roman"/>
        </w:rPr>
        <w:t>Craniometric</w:t>
      </w:r>
      <w:proofErr w:type="spellEnd"/>
      <w:r w:rsidRPr="00556196">
        <w:rPr>
          <w:rFonts w:eastAsia="Times New Roman"/>
        </w:rPr>
        <w:t xml:space="preserve"> comparison with recent human standards</w:t>
      </w:r>
      <w:r>
        <w:rPr>
          <w:rFonts w:eastAsia="Times New Roman"/>
        </w:rPr>
        <w:t>,”</w:t>
      </w:r>
      <w:r w:rsidRPr="00C222D2">
        <w:rPr>
          <w:rFonts w:eastAsia="Times New Roman"/>
        </w:rPr>
        <w:t xml:space="preserve"> </w:t>
      </w:r>
      <w:r w:rsidRPr="00C222D2">
        <w:rPr>
          <w:rFonts w:eastAsia="Times New Roman"/>
          <w:i/>
          <w:iCs/>
        </w:rPr>
        <w:t>HOMO - Journal of Comparative Human Biology</w:t>
      </w:r>
      <w:r>
        <w:rPr>
          <w:rFonts w:eastAsia="Times New Roman"/>
          <w:i/>
          <w:iCs/>
        </w:rPr>
        <w:t>,</w:t>
      </w:r>
      <w:r w:rsidRPr="00C222D2">
        <w:rPr>
          <w:rFonts w:eastAsia="Times New Roman"/>
        </w:rPr>
        <w:t xml:space="preserve"> 59(1):1-26.</w:t>
      </w:r>
    </w:p>
    <w:p w:rsidR="00B241BC" w:rsidRDefault="00B241BC" w:rsidP="00B241BC">
      <w:pPr>
        <w:spacing w:after="0"/>
      </w:pPr>
    </w:p>
    <w:p w:rsidR="00B241BC" w:rsidRDefault="00B241BC" w:rsidP="00B241BC"/>
    <w:p w:rsidR="00B241BC" w:rsidRDefault="00B241BC"/>
    <w:sectPr w:rsidR="00B241BC"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EDE"/>
    <w:rsid w:val="0000162B"/>
    <w:rsid w:val="00003BD7"/>
    <w:rsid w:val="0001348E"/>
    <w:rsid w:val="0001706D"/>
    <w:rsid w:val="00027CE8"/>
    <w:rsid w:val="00040E49"/>
    <w:rsid w:val="00041AA4"/>
    <w:rsid w:val="000426BC"/>
    <w:rsid w:val="000505A1"/>
    <w:rsid w:val="00050E14"/>
    <w:rsid w:val="00055A9C"/>
    <w:rsid w:val="00062047"/>
    <w:rsid w:val="00062442"/>
    <w:rsid w:val="00065636"/>
    <w:rsid w:val="00065DB6"/>
    <w:rsid w:val="00067A3C"/>
    <w:rsid w:val="000744B6"/>
    <w:rsid w:val="00084668"/>
    <w:rsid w:val="00085949"/>
    <w:rsid w:val="000901AC"/>
    <w:rsid w:val="00091FDA"/>
    <w:rsid w:val="00094A49"/>
    <w:rsid w:val="000A0621"/>
    <w:rsid w:val="000A4AB8"/>
    <w:rsid w:val="000A5A22"/>
    <w:rsid w:val="000A6D55"/>
    <w:rsid w:val="000A71E4"/>
    <w:rsid w:val="000C43B8"/>
    <w:rsid w:val="000E2D48"/>
    <w:rsid w:val="000F0EE4"/>
    <w:rsid w:val="000F35A2"/>
    <w:rsid w:val="000F58F1"/>
    <w:rsid w:val="0011027E"/>
    <w:rsid w:val="0011700F"/>
    <w:rsid w:val="0013010C"/>
    <w:rsid w:val="00130887"/>
    <w:rsid w:val="00135862"/>
    <w:rsid w:val="0014709E"/>
    <w:rsid w:val="001477EE"/>
    <w:rsid w:val="001521A5"/>
    <w:rsid w:val="00153479"/>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334D"/>
    <w:rsid w:val="001E365E"/>
    <w:rsid w:val="001F347F"/>
    <w:rsid w:val="001F4C3E"/>
    <w:rsid w:val="0020240D"/>
    <w:rsid w:val="00210575"/>
    <w:rsid w:val="0021487B"/>
    <w:rsid w:val="00215513"/>
    <w:rsid w:val="00217D1D"/>
    <w:rsid w:val="00230818"/>
    <w:rsid w:val="00237EB1"/>
    <w:rsid w:val="0024149A"/>
    <w:rsid w:val="00251D9A"/>
    <w:rsid w:val="00256ACB"/>
    <w:rsid w:val="00270172"/>
    <w:rsid w:val="00270E0E"/>
    <w:rsid w:val="00291284"/>
    <w:rsid w:val="00291626"/>
    <w:rsid w:val="002A0F6C"/>
    <w:rsid w:val="002A25A3"/>
    <w:rsid w:val="002A538B"/>
    <w:rsid w:val="002D29B3"/>
    <w:rsid w:val="002E2F00"/>
    <w:rsid w:val="002F1594"/>
    <w:rsid w:val="002F333C"/>
    <w:rsid w:val="002F6BFE"/>
    <w:rsid w:val="00304226"/>
    <w:rsid w:val="00306932"/>
    <w:rsid w:val="0031028B"/>
    <w:rsid w:val="00316204"/>
    <w:rsid w:val="00321B6F"/>
    <w:rsid w:val="003348D7"/>
    <w:rsid w:val="003377A2"/>
    <w:rsid w:val="00337D59"/>
    <w:rsid w:val="00345038"/>
    <w:rsid w:val="00354F08"/>
    <w:rsid w:val="00360FBB"/>
    <w:rsid w:val="0037637F"/>
    <w:rsid w:val="00392FB8"/>
    <w:rsid w:val="003A1F5E"/>
    <w:rsid w:val="003A7AEC"/>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232E"/>
    <w:rsid w:val="0044288D"/>
    <w:rsid w:val="004437F0"/>
    <w:rsid w:val="004438A1"/>
    <w:rsid w:val="00446D98"/>
    <w:rsid w:val="00454BD4"/>
    <w:rsid w:val="00467E7C"/>
    <w:rsid w:val="00470496"/>
    <w:rsid w:val="00470659"/>
    <w:rsid w:val="00470CC5"/>
    <w:rsid w:val="004714B2"/>
    <w:rsid w:val="004718DF"/>
    <w:rsid w:val="004758B8"/>
    <w:rsid w:val="00480067"/>
    <w:rsid w:val="00480195"/>
    <w:rsid w:val="00483DDF"/>
    <w:rsid w:val="00491C3E"/>
    <w:rsid w:val="004A26C9"/>
    <w:rsid w:val="004B0915"/>
    <w:rsid w:val="004B4047"/>
    <w:rsid w:val="004C7A27"/>
    <w:rsid w:val="004E4F31"/>
    <w:rsid w:val="004E70BC"/>
    <w:rsid w:val="004F7A42"/>
    <w:rsid w:val="00502CB4"/>
    <w:rsid w:val="00507034"/>
    <w:rsid w:val="0052225D"/>
    <w:rsid w:val="0053246E"/>
    <w:rsid w:val="00532A62"/>
    <w:rsid w:val="00534E07"/>
    <w:rsid w:val="00534FF2"/>
    <w:rsid w:val="00542F63"/>
    <w:rsid w:val="005466F8"/>
    <w:rsid w:val="005476E6"/>
    <w:rsid w:val="0055596A"/>
    <w:rsid w:val="00567AC6"/>
    <w:rsid w:val="00571722"/>
    <w:rsid w:val="00577D40"/>
    <w:rsid w:val="00577D4F"/>
    <w:rsid w:val="00581A25"/>
    <w:rsid w:val="0058549A"/>
    <w:rsid w:val="00590B9E"/>
    <w:rsid w:val="005A387C"/>
    <w:rsid w:val="005B3BB6"/>
    <w:rsid w:val="005B741C"/>
    <w:rsid w:val="005C0557"/>
    <w:rsid w:val="005D0D38"/>
    <w:rsid w:val="005D1CC0"/>
    <w:rsid w:val="005D6CAA"/>
    <w:rsid w:val="005E2620"/>
    <w:rsid w:val="005F2D14"/>
    <w:rsid w:val="005F5F4F"/>
    <w:rsid w:val="00606514"/>
    <w:rsid w:val="006071F9"/>
    <w:rsid w:val="00617980"/>
    <w:rsid w:val="00630740"/>
    <w:rsid w:val="00642001"/>
    <w:rsid w:val="006463A4"/>
    <w:rsid w:val="00650ED2"/>
    <w:rsid w:val="0066580B"/>
    <w:rsid w:val="006706A0"/>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92D28"/>
    <w:rsid w:val="007A23CE"/>
    <w:rsid w:val="007B2BA3"/>
    <w:rsid w:val="007B3877"/>
    <w:rsid w:val="007B410A"/>
    <w:rsid w:val="007B5668"/>
    <w:rsid w:val="007B7A50"/>
    <w:rsid w:val="007D5D22"/>
    <w:rsid w:val="007D7577"/>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249F"/>
    <w:rsid w:val="00877D6B"/>
    <w:rsid w:val="008814FE"/>
    <w:rsid w:val="00883481"/>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47621"/>
    <w:rsid w:val="00955C53"/>
    <w:rsid w:val="00955D64"/>
    <w:rsid w:val="0096275C"/>
    <w:rsid w:val="00975627"/>
    <w:rsid w:val="00976D01"/>
    <w:rsid w:val="0098066C"/>
    <w:rsid w:val="00987EA8"/>
    <w:rsid w:val="009909DD"/>
    <w:rsid w:val="00993A5A"/>
    <w:rsid w:val="009A6A2A"/>
    <w:rsid w:val="009B070F"/>
    <w:rsid w:val="009B12A8"/>
    <w:rsid w:val="009C2C0F"/>
    <w:rsid w:val="009E10B5"/>
    <w:rsid w:val="009F1E61"/>
    <w:rsid w:val="009F4A61"/>
    <w:rsid w:val="009F4E00"/>
    <w:rsid w:val="00A04001"/>
    <w:rsid w:val="00A15646"/>
    <w:rsid w:val="00A16C35"/>
    <w:rsid w:val="00A274BA"/>
    <w:rsid w:val="00A43570"/>
    <w:rsid w:val="00A454E8"/>
    <w:rsid w:val="00A460A3"/>
    <w:rsid w:val="00A46A57"/>
    <w:rsid w:val="00A4746E"/>
    <w:rsid w:val="00A54503"/>
    <w:rsid w:val="00A6107D"/>
    <w:rsid w:val="00A61E74"/>
    <w:rsid w:val="00A746F5"/>
    <w:rsid w:val="00A8168A"/>
    <w:rsid w:val="00AA413C"/>
    <w:rsid w:val="00AB06EA"/>
    <w:rsid w:val="00AB7332"/>
    <w:rsid w:val="00AC785E"/>
    <w:rsid w:val="00AD55D6"/>
    <w:rsid w:val="00AE5A7E"/>
    <w:rsid w:val="00AF664F"/>
    <w:rsid w:val="00AF7F52"/>
    <w:rsid w:val="00B048CC"/>
    <w:rsid w:val="00B07AE5"/>
    <w:rsid w:val="00B10903"/>
    <w:rsid w:val="00B1192E"/>
    <w:rsid w:val="00B12B2C"/>
    <w:rsid w:val="00B203AE"/>
    <w:rsid w:val="00B20D7A"/>
    <w:rsid w:val="00B241BC"/>
    <w:rsid w:val="00B2732F"/>
    <w:rsid w:val="00B30EDE"/>
    <w:rsid w:val="00B3298B"/>
    <w:rsid w:val="00B35139"/>
    <w:rsid w:val="00B42F4D"/>
    <w:rsid w:val="00B43FEB"/>
    <w:rsid w:val="00B44B1E"/>
    <w:rsid w:val="00B469CD"/>
    <w:rsid w:val="00B56131"/>
    <w:rsid w:val="00B565D3"/>
    <w:rsid w:val="00B75368"/>
    <w:rsid w:val="00B81F91"/>
    <w:rsid w:val="00B83F68"/>
    <w:rsid w:val="00B92197"/>
    <w:rsid w:val="00BA3532"/>
    <w:rsid w:val="00BA75CB"/>
    <w:rsid w:val="00BB0B61"/>
    <w:rsid w:val="00BB24A2"/>
    <w:rsid w:val="00BB5A60"/>
    <w:rsid w:val="00BC50A5"/>
    <w:rsid w:val="00BC6C4E"/>
    <w:rsid w:val="00BF65DF"/>
    <w:rsid w:val="00C26AB0"/>
    <w:rsid w:val="00C4210B"/>
    <w:rsid w:val="00C5093F"/>
    <w:rsid w:val="00C535F8"/>
    <w:rsid w:val="00C538C9"/>
    <w:rsid w:val="00C53E08"/>
    <w:rsid w:val="00C56D16"/>
    <w:rsid w:val="00C769BB"/>
    <w:rsid w:val="00C80778"/>
    <w:rsid w:val="00C86B6F"/>
    <w:rsid w:val="00C920CA"/>
    <w:rsid w:val="00C9223A"/>
    <w:rsid w:val="00C971D9"/>
    <w:rsid w:val="00CA4578"/>
    <w:rsid w:val="00CA6A8E"/>
    <w:rsid w:val="00CB6B17"/>
    <w:rsid w:val="00CB76D1"/>
    <w:rsid w:val="00CE48A0"/>
    <w:rsid w:val="00CE4E9C"/>
    <w:rsid w:val="00CE53CB"/>
    <w:rsid w:val="00CF6CBD"/>
    <w:rsid w:val="00D01B0E"/>
    <w:rsid w:val="00D102D5"/>
    <w:rsid w:val="00D1334D"/>
    <w:rsid w:val="00D162F1"/>
    <w:rsid w:val="00D16FC5"/>
    <w:rsid w:val="00D22F09"/>
    <w:rsid w:val="00D4486D"/>
    <w:rsid w:val="00D479DB"/>
    <w:rsid w:val="00D73DC3"/>
    <w:rsid w:val="00D76238"/>
    <w:rsid w:val="00D81190"/>
    <w:rsid w:val="00D95765"/>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5408"/>
    <w:rsid w:val="00E85105"/>
    <w:rsid w:val="00E9254F"/>
    <w:rsid w:val="00EA64EF"/>
    <w:rsid w:val="00EC0A59"/>
    <w:rsid w:val="00ED549C"/>
    <w:rsid w:val="00ED5DAF"/>
    <w:rsid w:val="00ED738C"/>
    <w:rsid w:val="00EE08A4"/>
    <w:rsid w:val="00EF737E"/>
    <w:rsid w:val="00F10BD0"/>
    <w:rsid w:val="00F10CBE"/>
    <w:rsid w:val="00F1551D"/>
    <w:rsid w:val="00F210CE"/>
    <w:rsid w:val="00F241D0"/>
    <w:rsid w:val="00F27008"/>
    <w:rsid w:val="00F31B93"/>
    <w:rsid w:val="00F43E8C"/>
    <w:rsid w:val="00F60890"/>
    <w:rsid w:val="00F63F04"/>
    <w:rsid w:val="00F6498A"/>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DFC3E4"/>
  <w15:chartTrackingRefBased/>
  <w15:docId w15:val="{558BBD32-6D63-498F-8E9C-8D2187F7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character" w:styleId="Strong">
    <w:name w:val="Strong"/>
    <w:qFormat/>
    <w:rsid w:val="00B241BC"/>
    <w:rPr>
      <w:b/>
      <w:bCs/>
    </w:rPr>
  </w:style>
  <w:style w:type="character" w:customStyle="1" w:styleId="mw-mmv-title">
    <w:name w:val="mw-mmv-title"/>
    <w:basedOn w:val="DefaultParagraphFont"/>
    <w:rsid w:val="00B241BC"/>
  </w:style>
  <w:style w:type="character" w:styleId="Hyperlink">
    <w:name w:val="Hyperlink"/>
    <w:basedOn w:val="DefaultParagraphFont"/>
    <w:uiPriority w:val="99"/>
    <w:unhideWhenUsed/>
    <w:rsid w:val="00B241BC"/>
    <w:rPr>
      <w:color w:val="0000FF"/>
      <w:u w:val="single"/>
    </w:rPr>
  </w:style>
  <w:style w:type="paragraph" w:styleId="NormalWeb">
    <w:name w:val="Normal (Web)"/>
    <w:basedOn w:val="Normal"/>
    <w:uiPriority w:val="99"/>
    <w:unhideWhenUsed/>
    <w:rsid w:val="00B241BC"/>
    <w:pPr>
      <w:spacing w:before="100" w:beforeAutospacing="1" w:after="100" w:afterAutospacing="1" w:line="240" w:lineRule="auto"/>
    </w:pPr>
    <w:rPr>
      <w:rFonts w:eastAsia="Times New Roman"/>
    </w:rPr>
  </w:style>
  <w:style w:type="character" w:customStyle="1" w:styleId="familyname">
    <w:name w:val="familyname"/>
    <w:basedOn w:val="DefaultParagraphFont"/>
    <w:rsid w:val="00A61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hyperlink" Target="https://www.sciencedirect.com/science/journal/10406182/337/supp/C"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hyperlink" Target="http://www.biologus.eu/Predmosti%20%20%20UR%20Karte_soubory/image004.gif" TargetMode="External"/><Relationship Id="rId17" Type="http://schemas.openxmlformats.org/officeDocument/2006/relationships/hyperlink" Target="https://www.sciencedirect.com/science/journal/10406182" TargetMode="External"/><Relationship Id="rId2" Type="http://schemas.openxmlformats.org/officeDocument/2006/relationships/settings" Target="settings.xml"/><Relationship Id="rId16" Type="http://schemas.openxmlformats.org/officeDocument/2006/relationships/hyperlink" Target="https://www.sciencedirect.com/science/article/pii/S1040618214003127"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hyperlink" Target="http://www.sciencedirect.com/science/article/pii/S0018442X07000583" TargetMode="External"/><Relationship Id="rId4" Type="http://schemas.openxmlformats.org/officeDocument/2006/relationships/image" Target="media/image1.png"/><Relationship Id="rId9" Type="http://schemas.openxmlformats.org/officeDocument/2006/relationships/hyperlink" Target="https://commons.wikimedia.org/wiki/Template:PD-1923" TargetMode="External"/><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2018-12-06T17:29:00Z</dcterms:created>
  <dcterms:modified xsi:type="dcterms:W3CDTF">2018-12-06T17:29:00Z</dcterms:modified>
</cp:coreProperties>
</file>