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A000-AM,C-Taino-Spatula-Alligator Cemi-Manatee Rib Bone-1000 CE</w:t>
      </w:r>
    </w:p>
    <w:p>
      <w:pPr>
        <w:pStyle w:val="Normal"/>
        <w:rPr/>
      </w:pPr>
      <w:r>
        <w:rPr/>
      </w:r>
    </w:p>
    <w:p>
      <w:pPr>
        <w:pStyle w:val="Normal"/>
        <w:rPr/>
      </w:pPr>
      <w:r>
        <w:rPr/>
        <w:drawing>
          <wp:inline distT="0" distB="0" distL="0" distR="0">
            <wp:extent cx="6443345" cy="41548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6443345" cy="4154805"/>
                    </a:xfrm>
                    <a:prstGeom prst="rect">
                      <a:avLst/>
                    </a:prstGeom>
                  </pic:spPr>
                </pic:pic>
              </a:graphicData>
            </a:graphic>
          </wp:inline>
        </w:drawing>
      </w:r>
    </w:p>
    <w:p>
      <w:pPr>
        <w:pStyle w:val="Normal"/>
        <w:rPr/>
      </w:pPr>
      <w:r>
        <w:rPr/>
        <w:drawing>
          <wp:inline distT="0" distB="0" distL="0" distR="0">
            <wp:extent cx="6701790" cy="34740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7" r="-3" b="-7"/>
                    <a:stretch>
                      <a:fillRect/>
                    </a:stretch>
                  </pic:blipFill>
                  <pic:spPr bwMode="auto">
                    <a:xfrm>
                      <a:off x="0" y="0"/>
                      <a:ext cx="6701790" cy="3474085"/>
                    </a:xfrm>
                    <a:prstGeom prst="rect">
                      <a:avLst/>
                    </a:prstGeom>
                  </pic:spPr>
                </pic:pic>
              </a:graphicData>
            </a:graphic>
          </wp:inline>
        </w:drawing>
      </w:r>
    </w:p>
    <w:p>
      <w:pPr>
        <w:pStyle w:val="Normal"/>
        <w:rPr/>
      </w:pPr>
      <w:r>
        <w:rPr/>
        <w:drawing>
          <wp:inline distT="0" distB="0" distL="0" distR="0">
            <wp:extent cx="6463665" cy="30886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 t="-7" r="-3" b="-7"/>
                    <a:stretch>
                      <a:fillRect/>
                    </a:stretch>
                  </pic:blipFill>
                  <pic:spPr bwMode="auto">
                    <a:xfrm>
                      <a:off x="0" y="0"/>
                      <a:ext cx="6463665" cy="3088640"/>
                    </a:xfrm>
                    <a:prstGeom prst="rect">
                      <a:avLst/>
                    </a:prstGeom>
                  </pic:spPr>
                </pic:pic>
              </a:graphicData>
            </a:graphic>
          </wp:inline>
        </w:drawing>
      </w:r>
    </w:p>
    <w:p>
      <w:pPr>
        <w:pStyle w:val="Normal"/>
        <w:rPr>
          <w:rStyle w:val="StrongEmphasis"/>
        </w:rPr>
      </w:pPr>
      <w:r>
        <w:rPr/>
        <w:t>Figs. 1-3. AM,C-Taino-Spatula-Alligator Cemi-Manatee Rib Bone-1000 CE</w:t>
      </w:r>
      <w:r>
        <w:rPr>
          <w:rStyle w:val="StrongEmphasis"/>
        </w:rPr>
        <w:t xml:space="preserve"> </w:t>
      </w:r>
    </w:p>
    <w:p>
      <w:pPr>
        <w:pStyle w:val="Normal"/>
        <w:rPr>
          <w:rStyle w:val="StrongEmphasis"/>
        </w:rPr>
      </w:pPr>
      <w:r>
        <w:rPr>
          <w:rStyle w:val="StrongEmphasis"/>
        </w:rPr>
        <w:t>Case No.: 18</w:t>
      </w:r>
    </w:p>
    <w:p>
      <w:pPr>
        <w:pStyle w:val="Normal"/>
        <w:rPr/>
      </w:pPr>
      <w:r>
        <w:rPr>
          <w:b/>
        </w:rPr>
        <w:t>Accession No.</w:t>
      </w:r>
    </w:p>
    <w:p>
      <w:pPr>
        <w:pStyle w:val="Normal"/>
        <w:rPr>
          <w:b/>
          <w:b/>
        </w:rPr>
      </w:pPr>
      <w:r>
        <w:rPr>
          <w:b/>
        </w:rPr>
        <w:t xml:space="preserve">Formal Label: </w:t>
      </w:r>
      <w:r>
        <w:rPr/>
        <w:t>AM,C-Taino-Spatula-Alligator Cemi-Manatee Rib Bone-1000 CE</w:t>
      </w:r>
    </w:p>
    <w:p>
      <w:pPr>
        <w:pStyle w:val="Normal"/>
        <w:rPr>
          <w:b/>
          <w:b/>
        </w:rPr>
      </w:pPr>
      <w:r>
        <w:rPr>
          <w:b/>
        </w:rPr>
        <w:t>Display Description:</w:t>
      </w:r>
    </w:p>
    <w:p>
      <w:pPr>
        <w:pStyle w:val="Normal"/>
        <w:rPr/>
      </w:pPr>
      <w:r>
        <w:rPr/>
        <w:t>The local Bohique or shaman leader would use this spatula for ritual cleansing by vomiting before consuming the</w:t>
      </w:r>
      <w:r>
        <w:rPr>
          <w:i/>
        </w:rPr>
        <w:t xml:space="preserve"> cohoba halluc</w:t>
      </w:r>
      <w:r>
        <w:rPr/>
        <w:t xml:space="preserve">inogen, usually </w:t>
      </w:r>
      <w:r>
        <w:rPr>
          <w:i/>
        </w:rPr>
        <w:t xml:space="preserve">Anadenanthera </w:t>
      </w:r>
      <w:r>
        <w:rPr/>
        <w:t>a genus of South American trees in the Legume family,</w:t>
      </w:r>
      <w:r>
        <w:rPr>
          <w:i/>
        </w:rPr>
        <w:t xml:space="preserve"> Fabaceae. </w:t>
      </w:r>
      <w:r>
        <w:rPr/>
        <w:t>The genus contains two to four species, including </w:t>
      </w:r>
      <w:r>
        <w:rPr>
          <w:i/>
        </w:rPr>
        <w:t xml:space="preserve">A. colubrine </w:t>
      </w:r>
      <w:r>
        <w:rPr/>
        <w:t>and </w:t>
      </w:r>
      <w:r>
        <w:rPr>
          <w:i/>
        </w:rPr>
        <w:t>A</w:t>
      </w:r>
      <w:r>
        <w:rPr/>
        <w:t>. peregrina. These trees respectively are known as sources of the hallucinogenic snuffs Vilca/Cebil and </w:t>
      </w:r>
      <w:hyperlink r:id="rId5">
        <w:r>
          <w:rPr>
            <w:rStyle w:val="InternetLink"/>
          </w:rPr>
          <w:t>Yopo</w:t>
        </w:r>
      </w:hyperlink>
      <w:r>
        <w:rPr/>
        <w:t>/</w:t>
      </w:r>
      <w:r>
        <w:rPr>
          <w:i/>
        </w:rPr>
        <w:t>Cohoba</w:t>
      </w:r>
      <w:r>
        <w:rPr/>
        <w:t>. The main active constituent of </w:t>
      </w:r>
      <w:r>
        <w:rPr>
          <w:i/>
        </w:rPr>
        <w:t>Anadenanthera</w:t>
      </w:r>
      <w:r>
        <w:rPr/>
        <w:t> is </w:t>
      </w:r>
      <w:hyperlink r:id="rId6">
        <w:r>
          <w:rPr>
            <w:rStyle w:val="InternetLink"/>
          </w:rPr>
          <w:t>bufotenin</w:t>
        </w:r>
      </w:hyperlink>
      <w:r>
        <w:rPr/>
        <w:t xml:space="preserve"> (5-HO-DMT, bufotenine) a tryptamine related to the neurotransmitter serotonin. It is an alkaloid found in the skin of some species of toads.</w:t>
      </w:r>
    </w:p>
    <w:p>
      <w:pPr>
        <w:pStyle w:val="Normal"/>
        <w:rPr/>
      </w:pPr>
      <w:r>
        <w:rPr/>
        <w:tab/>
        <w:t xml:space="preserve">The depiction of an alligator is significant since alligators wrap themselves around their victim and then twirl them in the water to exhaust and finally drown them. This is the technique metaphorically that the Bohique of the village would perform to spiritually engage those who wished to partake of </w:t>
      </w:r>
      <w:r>
        <w:rPr>
          <w:i/>
        </w:rPr>
        <w:t>cohoba</w:t>
      </w:r>
      <w:r>
        <w:rPr/>
        <w:t>, for the use of the spatual is on for physical purging of contaminants, the spiritual site is to be done by the alligator.</w:t>
      </w:r>
    </w:p>
    <w:p>
      <w:pPr>
        <w:pStyle w:val="NormalWeb"/>
        <w:rPr/>
      </w:pPr>
      <w:r>
        <w:rPr>
          <w:b/>
          <w:bCs/>
          <w:smallCaps/>
          <w:color w:val="000000"/>
        </w:rPr>
        <w:tab/>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Eastern Hispaniola, i.e., the Dominican Republic</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6775" cy="3246755"/>
            <wp:effectExtent l="0" t="0" r="0" b="0"/>
            <wp:docPr id="4"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title=""/>
                    <pic:cNvPicPr>
                      <a:picLocks noChangeAspect="1" noChangeArrowheads="1"/>
                    </pic:cNvPicPr>
                  </pic:nvPicPr>
                  <pic:blipFill>
                    <a:blip r:embed="rId7"/>
                    <a:srcRect l="-5" t="-9" r="-5" b="-9"/>
                    <a:stretch>
                      <a:fillRect/>
                    </a:stretch>
                  </pic:blipFill>
                  <pic:spPr bwMode="auto">
                    <a:xfrm>
                      <a:off x="0" y="0"/>
                      <a:ext cx="5946775" cy="3246755"/>
                    </a:xfrm>
                    <a:prstGeom prst="rect">
                      <a:avLst/>
                    </a:prstGeom>
                  </pic:spPr>
                </pic:pic>
              </a:graphicData>
            </a:graphic>
          </wp:inline>
        </w:drawing>
      </w:r>
    </w:p>
    <w:p>
      <w:pPr>
        <w:pStyle w:val="Normal"/>
        <w:rPr/>
      </w:pPr>
      <w:r>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r>
        <w:rPr/>
        <w:t>Sub Taino</w:t>
      </w:r>
    </w:p>
    <w:p>
      <w:pPr>
        <w:pStyle w:val="Normal"/>
        <w:rPr/>
      </w:pPr>
      <w:r>
        <w:rPr>
          <w:b/>
        </w:rPr>
        <w:t xml:space="preserve">Medium: </w:t>
      </w:r>
      <w:r>
        <w:rPr/>
        <w:t>Manatee rib</w:t>
      </w:r>
    </w:p>
    <w:p>
      <w:pPr>
        <w:pStyle w:val="Normal"/>
        <w:rPr>
          <w:b/>
          <w:b/>
        </w:rPr>
      </w:pPr>
      <w:r>
        <w:rPr>
          <w:b/>
        </w:rPr>
        <w:t xml:space="preserve">Dimensions: </w:t>
      </w:r>
    </w:p>
    <w:p>
      <w:pPr>
        <w:pStyle w:val="Normal"/>
        <w:rPr>
          <w:b/>
          <w:b/>
        </w:rPr>
      </w:pPr>
      <w:r>
        <w:rPr>
          <w:b/>
        </w:rPr>
        <w:t xml:space="preserve">Weight:  </w:t>
      </w:r>
    </w:p>
    <w:p>
      <w:pPr>
        <w:pStyle w:val="Normal"/>
        <w:rPr>
          <w:b/>
          <w:b/>
        </w:rPr>
      </w:pPr>
      <w:r>
        <w:rPr>
          <w:b/>
        </w:rPr>
        <w:t xml:space="preserve">Condition: </w:t>
      </w:r>
      <w:r>
        <w:rPr/>
        <w:t>original, intact</w:t>
      </w:r>
    </w:p>
    <w:p>
      <w:pPr>
        <w:pStyle w:val="Normal"/>
        <w:rPr>
          <w:b/>
          <w:b/>
        </w:rPr>
      </w:pPr>
      <w:r>
        <w:rPr>
          <w:b/>
        </w:rPr>
        <w:t xml:space="preserve">Provenance: </w:t>
      </w:r>
      <w:r>
        <w:rPr/>
        <w:t>From Eastern Hispaniola, i.e., the 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References:</w:t>
      </w:r>
      <w:r>
        <w:rPr>
          <w:iCs/>
          <w:color w:val="000000"/>
          <w:szCs w:val="15"/>
        </w:rPr>
        <w:t xml:space="preserve"> </w:t>
      </w:r>
    </w:p>
    <w:p>
      <w:pPr>
        <w:pStyle w:val="Normal"/>
        <w:ind w:start="144" w:end="144" w:hanging="0"/>
        <w:rPr>
          <w:b/>
          <w:b/>
          <w:color w:val="000000"/>
          <w:szCs w:val="15"/>
        </w:rPr>
      </w:pPr>
      <w:r>
        <w:rPr>
          <w:b/>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rStyle w:val="Notranslate"/>
          <w:color w:val="000000"/>
          <w:sz w:val="24"/>
          <w:szCs w:val="15"/>
        </w:rPr>
      </w:pPr>
      <w:r>
        <w:rPr>
          <w:color w:val="000000"/>
          <w:sz w:val="24"/>
          <w:szCs w:val="15"/>
        </w:rPr>
      </w:r>
    </w:p>
    <w:p>
      <w:pPr>
        <w:pStyle w:val="Style14"/>
        <w:ind w:start="144" w:end="144" w:hanging="0"/>
        <w:rPr>
          <w:color w:val="000000"/>
          <w:sz w:val="24"/>
        </w:rPr>
      </w:pPr>
      <w:r>
        <w:rPr>
          <w:rStyle w:val="Notranslate"/>
          <w:sz w:val="24"/>
        </w:rPr>
        <w:t xml:space="preserve">Dacal, Ramon and Manuel R. de la Calle. 1986: Aboriginal Archaeology of Cuba, editorial </w:t>
      </w:r>
      <w:r>
        <w:rPr>
          <w:rStyle w:val="Notranslate"/>
          <w:i/>
          <w:sz w:val="24"/>
        </w:rPr>
        <w:t>New People</w:t>
      </w:r>
      <w:r>
        <w:rPr>
          <w:rStyle w:val="Notranslate"/>
          <w:sz w:val="24"/>
        </w:rPr>
        <w:t>, p.149. Havana, Cuba.</w:t>
      </w:r>
      <w:r>
        <w:rPr>
          <w:sz w:val="24"/>
        </w:rPr>
        <w:t xml:space="preserve"> </w:t>
        <w:b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 w:val="24"/>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Pérez, Lourdes and Elena Guarch. 2000: The hallucinogenic plants and Native American communities.</w:t>
      </w:r>
      <w:r>
        <w:rPr>
          <w:sz w:val="24"/>
        </w:rPr>
        <w:t xml:space="preserve"> </w:t>
      </w:r>
      <w:r>
        <w:rPr>
          <w:rStyle w:val="Notranslate"/>
          <w:sz w:val="24"/>
        </w:rPr>
        <w:t xml:space="preserve">Rites and customs, </w:t>
      </w:r>
      <w:r>
        <w:rPr>
          <w:rStyle w:val="Notranslate"/>
          <w:i/>
          <w:sz w:val="24"/>
        </w:rPr>
        <w:t>Archaeological Caribbean</w:t>
      </w:r>
      <w:r>
        <w:rPr>
          <w:rStyle w:val="Notranslate"/>
          <w:sz w:val="24"/>
        </w:rPr>
        <w:t xml:space="preserve"> No. 4, p. 92. Cuba</w:t>
      </w:r>
      <w:r>
        <w:rPr>
          <w:sz w:val="24"/>
        </w:rPr>
        <w:t xml:space="preserve"> </w:t>
        <w:b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rStyle w:val="Notranslate"/>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Trincado, Nilecta et al. 1973. Excavations at Sardinero beach, Santiago de Cuba</w:t>
      </w:r>
      <w:r>
        <w:rPr>
          <w:rStyle w:val="Notranslate"/>
          <w:i/>
          <w:sz w:val="24"/>
        </w:rPr>
        <w:t>, Cuba Archaeologica</w:t>
      </w:r>
      <w:r>
        <w:rPr>
          <w:rStyle w:val="Notranslate"/>
          <w:sz w:val="24"/>
        </w:rPr>
        <w:t xml:space="preserve"> No. I, Cuba.</w:t>
      </w:r>
      <w:r>
        <w:rPr>
          <w:sz w:val="24"/>
        </w:rPr>
        <w:t xml:space="preserv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4"/>
        <w:ind w:start="144" w:end="144" w:hanging="0"/>
        <w:jc w:val="both"/>
        <w:rPr>
          <w:color w:val="000000"/>
          <w:sz w:val="24"/>
          <w:szCs w:val="15"/>
        </w:rPr>
      </w:pPr>
      <w:r>
        <w:rPr>
          <w:color w:val="000000"/>
          <w:sz w:val="24"/>
          <w:szCs w:val="15"/>
        </w:rPr>
      </w:r>
    </w:p>
    <w:p>
      <w:pPr>
        <w:pStyle w:val="Normal"/>
        <w:rPr>
          <w:color w:val="000000"/>
          <w:sz w:val="24"/>
          <w:szCs w:val="15"/>
        </w:rPr>
      </w:pPr>
      <w:r>
        <w:rPr>
          <w:color w:val="000000"/>
          <w:sz w:val="24"/>
          <w:szCs w:val="15"/>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n.wikipedia.org/wiki/Yopo" TargetMode="External"/><Relationship Id="rId6" Type="http://schemas.openxmlformats.org/officeDocument/2006/relationships/hyperlink" Target="https://en.wikipedia.org/wiki/Bufotenin"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2018-08-04T10:17:00Z</dcterms:created>
  <dc:creator>owner</dc:creator>
  <dc:description/>
  <cp:keywords/>
  <dc:language>en-US</dc:language>
  <cp:lastModifiedBy>Ralph Coffman</cp:lastModifiedBy>
  <dcterms:modified xsi:type="dcterms:W3CDTF">2018-08-06T09:17:00Z</dcterms:modified>
  <cp:revision>3</cp:revision>
  <dc:subject/>
  <dc:title>DIS-AM,C-Taino-Vomit Stick-Alligator</dc:title>
</cp:coreProperties>
</file>