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A000-AM,C-Taino-Cemi-Birthing Figure-Marble-1000 CE</w:t>
      </w:r>
    </w:p>
    <w:p>
      <w:pPr>
        <w:pStyle w:val="Normal"/>
        <w:rPr/>
      </w:pPr>
      <w:r>
        <w:rPr/>
        <w:drawing>
          <wp:inline distT="0" distB="0" distL="0" distR="0">
            <wp:extent cx="4158615" cy="37090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4158615" cy="3709035"/>
                    </a:xfrm>
                    <a:prstGeom prst="rect">
                      <a:avLst/>
                    </a:prstGeom>
                  </pic:spPr>
                </pic:pic>
              </a:graphicData>
            </a:graphic>
          </wp:inline>
        </w:drawing>
      </w:r>
      <w:r>
        <w:rPr/>
        <w:drawing>
          <wp:inline distT="0" distB="0" distL="0" distR="0">
            <wp:extent cx="1772285" cy="37185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5" r="-10" b="-5"/>
                    <a:stretch>
                      <a:fillRect/>
                    </a:stretch>
                  </pic:blipFill>
                  <pic:spPr bwMode="auto">
                    <a:xfrm>
                      <a:off x="0" y="0"/>
                      <a:ext cx="1772285" cy="3718560"/>
                    </a:xfrm>
                    <a:prstGeom prst="rect">
                      <a:avLst/>
                    </a:prstGeom>
                  </pic:spPr>
                </pic:pic>
              </a:graphicData>
            </a:graphic>
          </wp:inline>
        </w:drawing>
      </w:r>
    </w:p>
    <w:p>
      <w:pPr>
        <w:pStyle w:val="Normal"/>
        <w:rPr/>
      </w:pPr>
      <w:r>
        <w:rPr/>
        <w:t>Figs. 1-2. AM,C-Taino-Cemi-Birthing Figure-Marble-1000 CE</w:t>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AM,C-Taino-Cemi-Birthing Figure-Marble-1000 CE</w:t>
      </w:r>
    </w:p>
    <w:p>
      <w:pPr>
        <w:pStyle w:val="Normal"/>
        <w:rPr>
          <w:b/>
          <w:b/>
        </w:rPr>
      </w:pPr>
      <w:r>
        <w:rPr>
          <w:b/>
        </w:rPr>
        <w:t>Display Description:</w:t>
      </w:r>
    </w:p>
    <w:p>
      <w:pPr>
        <w:pStyle w:val="Normal"/>
        <w:rPr/>
      </w:pPr>
      <w:r>
        <w:rPr/>
        <w:t xml:space="preserve">This birthing scene is representative of the Taino spiritual entity YaYa. </w:t>
      </w:r>
      <w:r>
        <w:rPr>
          <w:color w:val="000000"/>
        </w:rPr>
        <w:t xml:space="preserve">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
        <w:rPr/>
      </w:pPr>
      <w:r>
        <w:rPr>
          <w:color w:val="000000"/>
        </w:rPr>
        <w:tab/>
        <w:t xml:space="preserve">While this entity, YaYa, is unknowable and hidden, Like O‘ Theos or YHWH, it can be known simultaneously through the effects it has on the material world. </w:t>
      </w:r>
      <w:r>
        <w:rPr/>
        <w:t xml:space="preserve">Cemi, Maquetaurie Guayaba- Lord of the Dwelling Place of the Dead </w:t>
      </w:r>
      <w:r>
        <w:rPr>
          <w:rStyle w:val="StrongEmphasis"/>
          <w:b w:val="false"/>
          <w:bCs w:val="false"/>
          <w:i/>
          <w:iCs/>
        </w:rPr>
        <w:t xml:space="preserve">Maquetaurie Guayaba  </w:t>
      </w:r>
      <w:r>
        <w:rPr>
          <w:rStyle w:val="StrongEmphasis"/>
          <w:b w:val="false"/>
          <w:bCs w:val="false"/>
        </w:rPr>
        <w:t xml:space="preserve">with wide-open eyes and a mouth without lips, one of </w:t>
      </w:r>
      <w:r>
        <w:rPr>
          <w:rStyle w:val="StrongEmphasis"/>
          <w:b w:val="false"/>
          <w:bCs w:val="false"/>
          <w:i/>
          <w:iCs/>
        </w:rPr>
        <w:t xml:space="preserve">Maquetaurie Guayaba’s </w:t>
      </w:r>
      <w:r>
        <w:rPr>
          <w:rStyle w:val="StrongEmphasis"/>
          <w:b w:val="false"/>
          <w:bCs w:val="false"/>
        </w:rPr>
        <w:t>distinguishing features,</w:t>
      </w:r>
      <w:r>
        <w:rPr/>
        <w:t xml:space="preserve"> made of andesite from the Dominican Republic. </w:t>
      </w:r>
    </w:p>
    <w:p>
      <w:pPr>
        <w:pStyle w:val="Normal"/>
        <w:rPr/>
      </w:pPr>
      <w:r>
        <w:rPr/>
        <w:t>According to Fray Pané, the Taino “believe there is a place where the dead go, which is called Coaybay, and it is located on one side of the island called Soraya. They say that the first person in Coaybay was one who was called Maquetaurie Guayaba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Maquetaurie may be translated “without life” (ma being a negation and quetaurie “life”) and Guayaba may be translated as the fruit from the tropical tree </w:t>
      </w:r>
      <w:r>
        <w:rPr>
          <w:i/>
          <w:iCs/>
        </w:rPr>
        <w:t>Psidium paniferum</w:t>
      </w:r>
      <w:r>
        <w:rPr/>
        <w:t>. The face of the first person in Coaybay was one who was called Maquetaurie Guayaba. Because he is the Lord of the Dark recesses such as cave or of the dark forest he has wide eyes and a mouth usually without lips, and no navel, which signified him being of the nether regions and death (Arrom in Pané 1999: 18, n. 80, n. 81).</w:t>
      </w:r>
    </w:p>
    <w:p>
      <w:pPr>
        <w:pStyle w:val="NormalWeb"/>
        <w:rPr/>
      </w:pPr>
      <w:r>
        <w:rPr>
          <w:color w:val="000000"/>
        </w:rPr>
        <w:t>For instance, Pané indicates that the effects of this entity could be considered as manifestations of Yucahuguamá or Lord of the Yucca plant, the chief crop of sustenance of the Taíno (</w:t>
      </w:r>
      <w:r>
        <w:rPr>
          <w:i/>
          <w:iCs/>
          <w:color w:val="000000"/>
        </w:rPr>
        <w:t>Relación</w:t>
      </w:r>
      <w:r>
        <w:rPr>
          <w:color w:val="000000"/>
        </w:rPr>
        <w:t xml:space="preserve"> 48, n. 141). This can be imaged as a Tripointed stone that resembles the canucos or mound of earth as it rises to expose the plant within it. Other images can be of natural objects like birds or animals. In Taíno religion, therefore, just as in Hebrew religion or Roman Catholicism there is need for intermediaries between the known and the unknowable, and these are the </w:t>
      </w:r>
      <w:r>
        <w:rPr>
          <w:i/>
          <w:color w:val="000000"/>
        </w:rPr>
        <w:t>cemís</w:t>
      </w:r>
      <w:r>
        <w:rPr>
          <w:color w:val="000000"/>
        </w:rPr>
        <w:t>, which are known and have been represented in their material form, providing another very important window on the spiritual world of the Taíno.</w:t>
      </w:r>
    </w:p>
    <w:p>
      <w:pPr>
        <w:pStyle w:val="Normal"/>
        <w:rPr>
          <w:color w:val="000000"/>
        </w:rPr>
      </w:pPr>
      <w:r>
        <w:rPr>
          <w:color w:val="000000"/>
        </w:rPr>
      </w:r>
    </w:p>
    <w:p>
      <w:pPr>
        <w:pStyle w:val="Normal"/>
        <w:rPr>
          <w:b/>
          <w:b/>
        </w:rPr>
      </w:pPr>
      <w:r>
        <w:rPr>
          <w:b/>
        </w:rPr>
        <w:t>LC Classification: F1909</w:t>
      </w:r>
    </w:p>
    <w:p>
      <w:pPr>
        <w:pStyle w:val="Normal"/>
        <w:rPr>
          <w:b/>
          <w:b/>
        </w:rPr>
      </w:pPr>
      <w:r>
        <w:rPr>
          <w:b/>
        </w:rPr>
        <w:t>Date or Time Horizon: 1000 CE</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5" t="-9" r="-5" b="-9"/>
                    <a:stretch>
                      <a:fillRect/>
                    </a:stretch>
                  </pic:blipFill>
                  <pic:spPr bwMode="auto">
                    <a:xfrm>
                      <a:off x="0" y="0"/>
                      <a:ext cx="5946775" cy="3241675"/>
                    </a:xfrm>
                    <a:prstGeom prst="rect">
                      <a:avLst/>
                    </a:prstGeom>
                  </pic:spPr>
                </pic:pic>
              </a:graphicData>
            </a:graphic>
          </wp:inline>
        </w:drawing>
      </w:r>
    </w:p>
    <w:p>
      <w:pPr>
        <w:pStyle w:val="Normal"/>
        <w:rPr/>
      </w:pPr>
      <w:r>
        <w:rPr/>
        <w:t>Caribbean c 1500 after http://www.latinamericanstudies.org/maps/Ciboney-Taino-Carib-</w:t>
      </w:r>
    </w:p>
    <w:p>
      <w:pPr>
        <w:pStyle w:val="Normal"/>
        <w:rPr/>
      </w:pPr>
      <w:r>
        <w:rPr/>
        <w:t>GPS coordinates:</w:t>
      </w:r>
    </w:p>
    <w:p>
      <w:pPr>
        <w:pStyle w:val="Normal"/>
        <w:rPr>
          <w:b/>
          <w:b/>
        </w:rPr>
      </w:pPr>
      <w:r>
        <w:rPr>
          <w:b/>
        </w:rPr>
      </w:r>
    </w:p>
    <w:p>
      <w:pPr>
        <w:pStyle w:val="Normal"/>
        <w:rPr>
          <w:b/>
          <w:b/>
        </w:rPr>
      </w:pPr>
      <w:r>
        <w:rPr>
          <w:b/>
        </w:rPr>
        <w:t xml:space="preserve">Cultural Affiliation: </w:t>
      </w:r>
      <w:r>
        <w:rPr/>
        <w:t>Dominican Republic</w:t>
      </w:r>
    </w:p>
    <w:p>
      <w:pPr>
        <w:pStyle w:val="Normal"/>
        <w:rPr>
          <w:b/>
          <w:b/>
        </w:rPr>
      </w:pPr>
      <w:r>
        <w:rPr>
          <w:b/>
        </w:rPr>
        <w:t>Medium: conch shell</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Provenance: </w:t>
      </w:r>
      <w:r>
        <w:rPr>
          <w:szCs w:val="27"/>
        </w:rPr>
        <w:t xml:space="preserve">John Therien Estate- New York City </w:t>
      </w:r>
      <w:r>
        <w:rPr>
          <w:szCs w:val="36"/>
        </w:rPr>
        <w:t>date of 6/25/68 Collected on tag,</w:t>
      </w:r>
    </w:p>
    <w:p>
      <w:pPr>
        <w:pStyle w:val="Normal"/>
        <w:rPr>
          <w:b/>
          <w:b/>
        </w:rPr>
      </w:pPr>
      <w:r>
        <w:rPr/>
        <w:t>from the</w:t>
      </w:r>
      <w:r>
        <w:rPr>
          <w:b/>
        </w:rPr>
        <w:t xml:space="preserve"> </w:t>
      </w:r>
      <w:r>
        <w:rPr/>
        <w:t>Dominican Republic, i.e. eastern Hispaniola.</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References:</w:t>
      </w:r>
    </w:p>
    <w:p>
      <w:pPr>
        <w:pStyle w:val="Normal"/>
        <w:ind w:start="144" w:end="144" w:hanging="0"/>
        <w:rPr>
          <w:color w:val="000000"/>
          <w:szCs w:val="15"/>
        </w:rPr>
      </w:pPr>
      <w:r>
        <w:rPr>
          <w:color w:val="000000"/>
          <w:szCs w:val="15"/>
        </w:rPr>
        <w:t xml:space="preserve">Bower, B </w:t>
      </w:r>
    </w:p>
    <w:p>
      <w:pPr>
        <w:pStyle w:val="Normal"/>
        <w:ind w:start="144" w:end="144" w:hanging="0"/>
        <w:rPr/>
      </w:pPr>
      <w:r>
        <w:rPr>
          <w:color w:val="000000"/>
          <w:szCs w:val="15"/>
        </w:rPr>
        <w:t xml:space="preserve">1994 Maya Beginnings Extend Back at Belize Site. </w:t>
      </w:r>
      <w:r>
        <w:rPr>
          <w:iCs/>
          <w:color w:val="000000"/>
          <w:szCs w:val="15"/>
        </w:rPr>
        <w:t xml:space="preserve">Science News 145(18):279.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Coe, W. R., II </w:t>
      </w:r>
    </w:p>
    <w:p>
      <w:pPr>
        <w:pStyle w:val="Style10"/>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0"/>
        <w:ind w:start="144" w:end="144" w:hanging="0"/>
        <w:rPr>
          <w:iCs/>
          <w:color w:val="000000"/>
          <w:sz w:val="24"/>
          <w:szCs w:val="15"/>
        </w:rPr>
      </w:pPr>
      <w:r>
        <w:rPr>
          <w:iCs/>
          <w:color w:val="000000"/>
          <w:sz w:val="24"/>
          <w:szCs w:val="15"/>
        </w:rPr>
      </w:r>
    </w:p>
    <w:p>
      <w:pPr>
        <w:pStyle w:val="Style10"/>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0"/>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Gerrell, P. R., J. F. Scarry, and J. S. Dunbar </w:t>
      </w:r>
    </w:p>
    <w:p>
      <w:pPr>
        <w:pStyle w:val="Style10"/>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0"/>
        <w:ind w:start="144" w:end="144" w:hanging="0"/>
        <w:rPr>
          <w:iCs/>
          <w:color w:val="000000"/>
          <w:sz w:val="24"/>
          <w:szCs w:val="15"/>
        </w:rPr>
      </w:pPr>
      <w:r>
        <w:rPr>
          <w:iCs/>
          <w:color w:val="000000"/>
          <w:sz w:val="24"/>
          <w:szCs w:val="15"/>
        </w:rPr>
      </w:r>
    </w:p>
    <w:p>
      <w:pPr>
        <w:pStyle w:val="Style10"/>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0"/>
        <w:ind w:start="144" w:end="144" w:hanging="0"/>
        <w:rPr>
          <w:rStyle w:val="HTMLCite"/>
          <w:i w:val="false"/>
          <w:i w:val="false"/>
          <w:iCs w:val="false"/>
          <w:color w:val="000000"/>
          <w:sz w:val="24"/>
          <w:szCs w:val="15"/>
        </w:rPr>
      </w:pPr>
      <w:r>
        <w:rPr/>
      </w:r>
    </w:p>
    <w:p>
      <w:pPr>
        <w:pStyle w:val="Style10"/>
        <w:ind w:start="144" w:end="144" w:hanging="0"/>
        <w:rPr>
          <w:color w:val="000000"/>
          <w:sz w:val="24"/>
          <w:szCs w:val="15"/>
        </w:rPr>
      </w:pPr>
      <w:r>
        <w:rPr>
          <w:color w:val="000000"/>
          <w:sz w:val="24"/>
          <w:szCs w:val="15"/>
        </w:rPr>
        <w:t xml:space="preserve">Hester, T. R. </w:t>
      </w:r>
    </w:p>
    <w:p>
      <w:pPr>
        <w:pStyle w:val="Style10"/>
        <w:ind w:start="144" w:end="144" w:hanging="0"/>
        <w:rPr>
          <w:color w:val="000000"/>
          <w:sz w:val="24"/>
          <w:szCs w:val="15"/>
        </w:rPr>
      </w:pPr>
      <w:r>
        <w:rPr>
          <w:color w:val="000000"/>
          <w:sz w:val="24"/>
          <w:szCs w:val="15"/>
        </w:rPr>
        <w:t xml:space="preserve">1994a An Introduction to the Colha Preceramic Project. </w:t>
      </w:r>
    </w:p>
    <w:p>
      <w:pPr>
        <w:pStyle w:val="Style10"/>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J. Shafer, and T. C. Kelly </w:t>
      </w:r>
    </w:p>
    <w:p>
      <w:pPr>
        <w:pStyle w:val="Style10"/>
        <w:ind w:start="144" w:end="144" w:hanging="0"/>
        <w:rPr>
          <w:color w:val="000000"/>
          <w:sz w:val="24"/>
          <w:szCs w:val="15"/>
        </w:rPr>
      </w:pPr>
      <w:r>
        <w:rPr>
          <w:color w:val="000000"/>
          <w:sz w:val="24"/>
          <w:szCs w:val="15"/>
        </w:rPr>
        <w:t xml:space="preserve">1980 A Preliminary Note on Artifacts from Lowe Ranch: </w:t>
      </w:r>
    </w:p>
    <w:p>
      <w:pPr>
        <w:pStyle w:val="Style10"/>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 xml:space="preserve">Hester, J. D. Eaton, and H. J. Shafer. </w:t>
      </w:r>
    </w:p>
    <w:p>
      <w:pPr>
        <w:pStyle w:val="Style10"/>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Iceland, D. Hudler, R. Brewington, H. J. Shafer, and J. Lohse </w:t>
      </w:r>
    </w:p>
    <w:p>
      <w:pPr>
        <w:pStyle w:val="Style10"/>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Hester, T. R., H. Iceland, D. Hudler, and H. J. Shafer </w:t>
      </w:r>
    </w:p>
    <w:p>
      <w:pPr>
        <w:pStyle w:val="Style10"/>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Hudler, D. B., T. R. Hester, and H. B. Iceland </w:t>
      </w:r>
    </w:p>
    <w:p>
      <w:pPr>
        <w:pStyle w:val="Style10"/>
        <w:ind w:start="144" w:end="144" w:hanging="0"/>
        <w:rPr>
          <w:color w:val="000000"/>
          <w:sz w:val="24"/>
          <w:szCs w:val="15"/>
        </w:rPr>
      </w:pPr>
      <w:r>
        <w:rPr>
          <w:color w:val="000000"/>
          <w:sz w:val="24"/>
          <w:szCs w:val="15"/>
        </w:rPr>
        <w:t xml:space="preserve">1995 The Colha Preceramic Project: A Status Report. </w:t>
      </w:r>
    </w:p>
    <w:p>
      <w:pPr>
        <w:pStyle w:val="Style10"/>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Iceland, H. B., and T. R. Hester </w:t>
      </w:r>
    </w:p>
    <w:p>
      <w:pPr>
        <w:pStyle w:val="Style10"/>
        <w:ind w:start="144" w:end="144" w:hanging="0"/>
        <w:rPr>
          <w:color w:val="000000"/>
          <w:sz w:val="24"/>
          <w:szCs w:val="15"/>
        </w:rPr>
      </w:pPr>
      <w:r>
        <w:rPr>
          <w:color w:val="000000"/>
          <w:sz w:val="24"/>
          <w:szCs w:val="15"/>
        </w:rPr>
        <w:t xml:space="preserve">1996a The Colha Preceramic Project: A Status Report. </w:t>
      </w:r>
    </w:p>
    <w:p>
      <w:pPr>
        <w:pStyle w:val="Style10"/>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Iceland, H. B., T. R. Hester, H. 1. Shafer, and D. Hudler </w:t>
      </w:r>
    </w:p>
    <w:p>
      <w:pPr>
        <w:pStyle w:val="Style10"/>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Jacob, J. S. </w:t>
      </w:r>
    </w:p>
    <w:p>
      <w:pPr>
        <w:pStyle w:val="Style10"/>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Jones, J. G. </w:t>
      </w:r>
    </w:p>
    <w:p>
      <w:pPr>
        <w:pStyle w:val="Style10"/>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Kelly, T. C. </w:t>
      </w:r>
    </w:p>
    <w:p>
      <w:pPr>
        <w:pStyle w:val="Style10"/>
        <w:ind w:start="144" w:end="144" w:hanging="0"/>
        <w:rPr>
          <w:color w:val="000000"/>
          <w:sz w:val="24"/>
          <w:szCs w:val="15"/>
        </w:rPr>
      </w:pPr>
      <w:r>
        <w:rPr>
          <w:color w:val="000000"/>
          <w:sz w:val="24"/>
          <w:szCs w:val="15"/>
        </w:rPr>
        <w:t xml:space="preserve">1993 Preceramic Projectile-Point Typology in Belize. </w:t>
      </w:r>
    </w:p>
    <w:p>
      <w:pPr>
        <w:pStyle w:val="Style10"/>
        <w:ind w:start="144" w:end="144" w:hanging="0"/>
        <w:rPr>
          <w:iCs/>
          <w:color w:val="000000"/>
          <w:sz w:val="24"/>
          <w:szCs w:val="15"/>
        </w:rPr>
      </w:pPr>
      <w:r>
        <w:rPr>
          <w:iCs/>
          <w:color w:val="000000"/>
          <w:sz w:val="24"/>
          <w:szCs w:val="15"/>
        </w:rPr>
        <w:t xml:space="preserve">Ancient Mesoamerica 4:205-227. </w:t>
      </w:r>
    </w:p>
    <w:p>
      <w:pPr>
        <w:pStyle w:val="Style10"/>
        <w:ind w:start="144" w:end="144" w:hanging="0"/>
        <w:rPr>
          <w:iCs/>
          <w:color w:val="000000"/>
          <w:sz w:val="24"/>
          <w:szCs w:val="15"/>
        </w:rPr>
      </w:pPr>
      <w:r>
        <w:rPr>
          <w:iCs/>
          <w:color w:val="000000"/>
          <w:sz w:val="24"/>
          <w:szCs w:val="15"/>
        </w:rPr>
      </w:r>
    </w:p>
    <w:p>
      <w:pPr>
        <w:pStyle w:val="Style10"/>
        <w:ind w:start="144" w:end="144" w:hanging="0"/>
        <w:rPr>
          <w:color w:val="000000"/>
          <w:sz w:val="24"/>
          <w:szCs w:val="15"/>
        </w:rPr>
      </w:pPr>
      <w:r>
        <w:rPr>
          <w:color w:val="000000"/>
          <w:sz w:val="24"/>
          <w:szCs w:val="15"/>
        </w:rPr>
        <w:t xml:space="preserve">Lohse, 1. C. </w:t>
      </w:r>
    </w:p>
    <w:p>
      <w:pPr>
        <w:pStyle w:val="Style10"/>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MacNeish, R, S., and A. Nelken-Turner </w:t>
      </w:r>
    </w:p>
    <w:p>
      <w:pPr>
        <w:pStyle w:val="Style10"/>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0"/>
        <w:ind w:start="144" w:end="144" w:hanging="0"/>
        <w:rPr>
          <w:color w:val="000000"/>
          <w:sz w:val="24"/>
          <w:szCs w:val="15"/>
        </w:rPr>
      </w:pPr>
      <w:r>
        <w:rPr>
          <w:color w:val="000000"/>
          <w:sz w:val="24"/>
          <w:szCs w:val="15"/>
        </w:rPr>
      </w:r>
    </w:p>
    <w:p>
      <w:pPr>
        <w:pStyle w:val="Style10"/>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0"/>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Moore, C. </w:t>
      </w:r>
    </w:p>
    <w:p>
      <w:pPr>
        <w:pStyle w:val="Style10"/>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Pantel, A. G. </w:t>
      </w:r>
    </w:p>
    <w:p>
      <w:pPr>
        <w:pStyle w:val="Style10"/>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0"/>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0"/>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0"/>
        <w:ind w:start="144" w:end="144" w:hanging="0"/>
        <w:jc w:val="both"/>
        <w:rPr>
          <w:color w:val="000000"/>
          <w:sz w:val="24"/>
          <w:szCs w:val="15"/>
        </w:rPr>
      </w:pPr>
      <w:r>
        <w:rPr>
          <w:color w:val="000000"/>
          <w:sz w:val="24"/>
          <w:szCs w:val="15"/>
        </w:rPr>
      </w:r>
    </w:p>
    <w:p>
      <w:pPr>
        <w:pStyle w:val="Style10"/>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Rouse, I. </w:t>
      </w:r>
    </w:p>
    <w:p>
      <w:pPr>
        <w:pStyle w:val="Style10"/>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0"/>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0"/>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0"/>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0"/>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Shafer, H. </w:t>
      </w:r>
    </w:p>
    <w:p>
      <w:pPr>
        <w:pStyle w:val="Style10"/>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Shafer, H. 1., T. R. Hester, and T. C. Kelly </w:t>
      </w:r>
    </w:p>
    <w:p>
      <w:pPr>
        <w:pStyle w:val="Style10"/>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Steward. 1. H. </w:t>
      </w:r>
    </w:p>
    <w:p>
      <w:pPr>
        <w:pStyle w:val="Style10"/>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Stuiver, M., and R. S. Kra </w:t>
      </w:r>
    </w:p>
    <w:p>
      <w:pPr>
        <w:pStyle w:val="Style10"/>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0"/>
        <w:ind w:start="144" w:end="144" w:hanging="0"/>
        <w:rPr>
          <w:color w:val="000000"/>
          <w:sz w:val="24"/>
          <w:szCs w:val="15"/>
        </w:rPr>
      </w:pPr>
      <w:r>
        <w:rPr>
          <w:color w:val="000000"/>
          <w:sz w:val="24"/>
          <w:szCs w:val="15"/>
        </w:rPr>
      </w:r>
    </w:p>
    <w:p>
      <w:pPr>
        <w:pStyle w:val="Style10"/>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0"/>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0"/>
        <w:ind w:start="144" w:end="144" w:hanging="0"/>
        <w:jc w:val="both"/>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Veloz Maggiolo, M. </w:t>
      </w:r>
    </w:p>
    <w:p>
      <w:pPr>
        <w:pStyle w:val="Style10"/>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Veloz Maggiolo, M., and B. Vega </w:t>
      </w:r>
    </w:p>
    <w:p>
      <w:pPr>
        <w:pStyle w:val="Style10"/>
        <w:ind w:start="144" w:end="144" w:hanging="0"/>
        <w:rPr>
          <w:color w:val="000000"/>
          <w:sz w:val="24"/>
          <w:szCs w:val="15"/>
        </w:rPr>
      </w:pPr>
      <w:r>
        <w:rPr>
          <w:color w:val="000000"/>
          <w:sz w:val="24"/>
          <w:szCs w:val="15"/>
        </w:rPr>
        <w:t xml:space="preserve">1982 The Antillean Pre-ceramic: A New Approximation. </w:t>
      </w:r>
    </w:p>
    <w:p>
      <w:pPr>
        <w:pStyle w:val="Style10"/>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0"/>
        <w:ind w:start="144" w:end="144" w:hanging="0"/>
        <w:rPr>
          <w:iCs/>
          <w:color w:val="000000"/>
          <w:w w:val="92"/>
          <w:sz w:val="24"/>
          <w:szCs w:val="15"/>
        </w:rPr>
      </w:pPr>
      <w:r>
        <w:rPr>
          <w:iCs/>
          <w:color w:val="000000"/>
          <w:w w:val="92"/>
          <w:sz w:val="24"/>
          <w:szCs w:val="15"/>
        </w:rPr>
      </w:r>
    </w:p>
    <w:p>
      <w:pPr>
        <w:pStyle w:val="Style10"/>
        <w:ind w:start="144" w:end="144" w:hanging="0"/>
        <w:rPr>
          <w:color w:val="000000"/>
          <w:sz w:val="24"/>
          <w:szCs w:val="15"/>
        </w:rPr>
      </w:pPr>
      <w:r>
        <w:rPr>
          <w:color w:val="000000"/>
          <w:sz w:val="24"/>
          <w:szCs w:val="15"/>
        </w:rPr>
        <w:t xml:space="preserve">Wilson, S. M. </w:t>
      </w:r>
    </w:p>
    <w:p>
      <w:pPr>
        <w:pStyle w:val="Style10"/>
        <w:ind w:start="144" w:end="144" w:hanging="0"/>
        <w:rPr>
          <w:color w:val="000000"/>
          <w:sz w:val="24"/>
          <w:szCs w:val="15"/>
        </w:rPr>
      </w:pPr>
      <w:r>
        <w:rPr>
          <w:color w:val="000000"/>
          <w:sz w:val="24"/>
          <w:szCs w:val="15"/>
        </w:rPr>
        <w:t xml:space="preserve">1996 The Rise of Complex Societies in the Caribbean. </w:t>
      </w:r>
    </w:p>
    <w:p>
      <w:pPr>
        <w:pStyle w:val="Style10"/>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0"/>
        <w:ind w:start="144" w:end="144" w:hanging="0"/>
        <w:rPr>
          <w:color w:val="000000"/>
          <w:w w:val="114"/>
          <w:sz w:val="24"/>
          <w:szCs w:val="15"/>
        </w:rPr>
      </w:pPr>
      <w:r>
        <w:rPr>
          <w:color w:val="000000"/>
          <w:w w:val="114"/>
          <w:sz w:val="24"/>
          <w:szCs w:val="15"/>
        </w:rPr>
      </w:r>
    </w:p>
    <w:p>
      <w:pPr>
        <w:pStyle w:val="Style10"/>
        <w:ind w:start="144" w:end="144" w:hanging="0"/>
        <w:rPr>
          <w:color w:val="000000"/>
          <w:sz w:val="24"/>
          <w:szCs w:val="15"/>
        </w:rPr>
      </w:pPr>
      <w:r>
        <w:rPr>
          <w:color w:val="000000"/>
          <w:sz w:val="24"/>
          <w:szCs w:val="15"/>
        </w:rPr>
        <w:t xml:space="preserve">Wood, G. P. </w:t>
      </w:r>
    </w:p>
    <w:p>
      <w:pPr>
        <w:pStyle w:val="Style10"/>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0"/>
        <w:ind w:start="144" w:end="144" w:hanging="0"/>
        <w:rPr>
          <w:color w:val="000000"/>
          <w:sz w:val="24"/>
          <w:szCs w:val="15"/>
        </w:rPr>
      </w:pPr>
      <w:r>
        <w:rPr>
          <w:color w:val="000000"/>
          <w:sz w:val="24"/>
          <w:szCs w:val="15"/>
        </w:rPr>
      </w:r>
    </w:p>
    <w:p>
      <w:pPr>
        <w:pStyle w:val="Style10"/>
        <w:ind w:start="144" w:end="144" w:hanging="0"/>
        <w:rPr>
          <w:color w:val="000000"/>
          <w:sz w:val="24"/>
          <w:szCs w:val="15"/>
        </w:rPr>
      </w:pPr>
      <w:r>
        <w:rPr>
          <w:color w:val="000000"/>
          <w:sz w:val="24"/>
          <w:szCs w:val="15"/>
        </w:rPr>
        <w:t xml:space="preserve">Zeitlin, R. N. </w:t>
      </w:r>
    </w:p>
    <w:p>
      <w:pPr>
        <w:pStyle w:val="Style10"/>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0"/>
        <w:ind w:start="144" w:end="144" w:hanging="0"/>
        <w:rPr>
          <w:iCs/>
          <w:color w:val="000000"/>
          <w:w w:val="92"/>
          <w:sz w:val="24"/>
          <w:szCs w:val="15"/>
        </w:rPr>
      </w:pPr>
      <w:r>
        <w:rPr>
          <w:iCs/>
          <w:color w:val="000000"/>
          <w:w w:val="92"/>
          <w:sz w:val="24"/>
          <w:szCs w:val="15"/>
        </w:rPr>
      </w:r>
    </w:p>
    <w:p>
      <w:pPr>
        <w:pStyle w:val="Style10"/>
        <w:ind w:start="144" w:end="144" w:hanging="0"/>
        <w:rPr>
          <w:color w:val="000000"/>
          <w:sz w:val="24"/>
          <w:szCs w:val="15"/>
        </w:rPr>
      </w:pPr>
      <w:r>
        <w:rPr>
          <w:color w:val="000000"/>
          <w:sz w:val="24"/>
          <w:szCs w:val="15"/>
        </w:rPr>
        <w:t xml:space="preserve">Zeitlin, R. N., and 1. F. Zeitlin </w:t>
      </w:r>
    </w:p>
    <w:p>
      <w:pPr>
        <w:pStyle w:val="Style10"/>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Normal"/>
        <w:rPr>
          <w:color w:val="000000"/>
          <w:sz w:val="24"/>
          <w:szCs w:val="15"/>
        </w:rPr>
      </w:pPr>
      <w:r>
        <w:rPr>
          <w:color w:val="000000"/>
          <w:sz w:val="24"/>
          <w:szCs w:val="15"/>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Ngscope">
    <w:name w:val="ng-scope"/>
    <w:basedOn w:val="DefaultParagraphFont"/>
    <w:qFormat/>
    <w:rPr/>
  </w:style>
  <w:style w:type="character" w:styleId="Ngbinding">
    <w:name w:val="ng-binding"/>
    <w:basedOn w:val="DefaultParagraphFont"/>
    <w:qFormat/>
    <w:rPr/>
  </w:style>
  <w:style w:type="character" w:styleId="Ngbindingordertotalcost">
    <w:name w:val="ng-binding ordertotalcost"/>
    <w:basedOn w:val="DefaultParagraphFont"/>
    <w:qFormat/>
    <w:rPr/>
  </w:style>
  <w:style w:type="character" w:styleId="Hps">
    <w:name w:val="hps"/>
    <w:qFormat/>
    <w:rPr/>
  </w:style>
  <w:style w:type="character" w:styleId="Atn">
    <w:name w:val="atn"/>
    <w:qFormat/>
    <w:rPr/>
  </w:style>
  <w:style w:type="character" w:styleId="Notranslate">
    <w:name w:val="notranslate"/>
    <w:qFormat/>
    <w:rPr/>
  </w:style>
  <w:style w:type="character" w:styleId="Referencetext">
    <w:name w:val="reference-tex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 w:type="paragraph" w:styleId="Style10">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2018-08-02T04:21:00Z</dcterms:created>
  <dc:creator>owner</dc:creator>
  <dc:description/>
  <cp:keywords/>
  <dc:language>en-US</dc:language>
  <cp:lastModifiedBy>Ralph Coffman</cp:lastModifiedBy>
  <dcterms:modified xsi:type="dcterms:W3CDTF">2018-08-02T04:21:00Z</dcterms:modified>
  <cp:revision>2</cp:revision>
  <dc:subject/>
  <dc:title>AM,C-Taino-Figure-Marble</dc:title>
</cp:coreProperties>
</file>