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6.jpeg" ContentType="image/jpeg"/>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A000-AM,C-Taino-Celt-Dove Cemi-Andesite-1000 CE</w:t>
      </w:r>
    </w:p>
    <w:p>
      <w:pPr>
        <w:pStyle w:val="Normal"/>
        <w:rPr/>
      </w:pPr>
      <w:r>
        <w:rPr/>
        <w:drawing>
          <wp:inline distT="0" distB="0" distL="0" distR="0">
            <wp:extent cx="2605405" cy="50107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4" r="-9" b="-4"/>
                    <a:stretch>
                      <a:fillRect/>
                    </a:stretch>
                  </pic:blipFill>
                  <pic:spPr bwMode="auto">
                    <a:xfrm>
                      <a:off x="0" y="0"/>
                      <a:ext cx="2605405" cy="5010785"/>
                    </a:xfrm>
                    <a:prstGeom prst="rect">
                      <a:avLst/>
                    </a:prstGeom>
                  </pic:spPr>
                </pic:pic>
              </a:graphicData>
            </a:graphic>
          </wp:inline>
        </w:drawing>
      </w:r>
      <w:r>
        <w:rPr/>
        <w:drawing>
          <wp:inline distT="0" distB="0" distL="0" distR="0">
            <wp:extent cx="1062990" cy="50253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2" t="-4" r="-22" b="-4"/>
                    <a:stretch>
                      <a:fillRect/>
                    </a:stretch>
                  </pic:blipFill>
                  <pic:spPr bwMode="auto">
                    <a:xfrm>
                      <a:off x="0" y="0"/>
                      <a:ext cx="1062990" cy="5025390"/>
                    </a:xfrm>
                    <a:prstGeom prst="rect">
                      <a:avLst/>
                    </a:prstGeom>
                  </pic:spPr>
                </pic:pic>
              </a:graphicData>
            </a:graphic>
          </wp:inline>
        </w:drawing>
      </w:r>
      <w:r>
        <w:rPr/>
        <w:drawing>
          <wp:inline distT="0" distB="0" distL="0" distR="0">
            <wp:extent cx="2482850" cy="50177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0" t="-5" r="-10" b="-5"/>
                    <a:stretch>
                      <a:fillRect/>
                    </a:stretch>
                  </pic:blipFill>
                  <pic:spPr bwMode="auto">
                    <a:xfrm>
                      <a:off x="0" y="0"/>
                      <a:ext cx="2482850" cy="5017770"/>
                    </a:xfrm>
                    <a:prstGeom prst="rect">
                      <a:avLst/>
                    </a:prstGeom>
                  </pic:spPr>
                </pic:pic>
              </a:graphicData>
            </a:graphic>
          </wp:inline>
        </w:drawing>
      </w:r>
    </w:p>
    <w:p>
      <w:pPr>
        <w:pStyle w:val="Normal"/>
        <w:rPr/>
      </w:pPr>
      <w:r>
        <w:rPr/>
        <w:t>Figs. 1-3. AM,C-Taino-Celt-Dove Cemi-1000 CE</w:t>
      </w:r>
    </w:p>
    <w:p>
      <w:pPr>
        <w:pStyle w:val="Normal"/>
        <w:rPr/>
      </w:pPr>
      <w:r>
        <w:rPr>
          <w:rStyle w:val="StrongEmphasis"/>
        </w:rPr>
        <w:t>Case No.: 18</w:t>
      </w:r>
    </w:p>
    <w:p>
      <w:pPr>
        <w:pStyle w:val="Normal"/>
        <w:rPr/>
      </w:pPr>
      <w:r>
        <w:rPr>
          <w:b/>
        </w:rPr>
        <w:t>Accession No.</w:t>
      </w:r>
    </w:p>
    <w:p>
      <w:pPr>
        <w:pStyle w:val="Normal"/>
        <w:rPr>
          <w:b/>
          <w:b/>
        </w:rPr>
      </w:pPr>
      <w:r>
        <w:rPr>
          <w:b/>
        </w:rPr>
        <w:t xml:space="preserve">Formal Label: </w:t>
      </w:r>
      <w:r>
        <w:rPr/>
        <w:t>AM,C-Taino-Celt-Dove Cemi-1000 CE</w:t>
      </w:r>
    </w:p>
    <w:p>
      <w:pPr>
        <w:pStyle w:val="Normal"/>
        <w:rPr>
          <w:b/>
          <w:b/>
        </w:rPr>
      </w:pPr>
      <w:r>
        <w:rPr>
          <w:b/>
        </w:rPr>
        <w:t>Display Description:</w:t>
      </w:r>
    </w:p>
    <w:p>
      <w:pPr>
        <w:pStyle w:val="Normal"/>
        <w:rPr/>
      </w:pPr>
      <w:r>
        <w:rPr/>
        <w:t xml:space="preserve">Ceremonial </w:t>
      </w:r>
      <w:r>
        <w:rPr>
          <w:i/>
          <w:iCs/>
        </w:rPr>
        <w:t xml:space="preserve">cemí </w:t>
      </w:r>
      <w:r>
        <w:rPr/>
        <w:t xml:space="preserve">carved from andesite with zeolite crystal inclusions in the form of possibly a dove. The wings provide three geometric forms: concentric circles for the sun god, triangles for the </w:t>
      </w:r>
      <w:r>
        <w:rPr>
          <w:i/>
          <w:iCs/>
        </w:rPr>
        <w:t>conucos</w:t>
      </w:r>
      <w:r>
        <w:rPr/>
        <w:t xml:space="preserve"> or yucca mounds the source of sacred food, and spirals for the passage of wind and rain in the </w:t>
      </w:r>
      <w:r>
        <w:rPr>
          <w:i/>
          <w:iCs/>
        </w:rPr>
        <w:t>hurrican</w:t>
      </w:r>
      <w:r>
        <w:rPr/>
        <w:t xml:space="preserve"> season to fructify the earth with water. In a lost mythology the bird sculptured here (probably a dove) was possibly the harbinger of the coming of the rainy </w:t>
      </w:r>
      <w:r>
        <w:rPr>
          <w:i/>
          <w:iCs/>
        </w:rPr>
        <w:t>hurrican</w:t>
      </w:r>
      <w:r>
        <w:rPr/>
        <w:t xml:space="preserve"> season.</w:t>
      </w:r>
    </w:p>
    <w:p>
      <w:pPr>
        <w:pStyle w:val="Normal"/>
        <w:rPr>
          <w:b/>
          <w:b/>
        </w:rPr>
      </w:pPr>
      <w:r>
        <w:rPr>
          <w:b/>
        </w:rPr>
      </w:r>
    </w:p>
    <w:p>
      <w:pPr>
        <w:pStyle w:val="Normal"/>
        <w:rPr>
          <w:b/>
          <w:b/>
        </w:rPr>
      </w:pPr>
      <w:r>
        <w:rPr>
          <w:b/>
        </w:rPr>
        <w:t>LC Classification: F1909</w:t>
      </w:r>
    </w:p>
    <w:p>
      <w:pPr>
        <w:pStyle w:val="Normal"/>
        <w:rPr>
          <w:b/>
          <w:b/>
        </w:rPr>
      </w:pPr>
      <w:r>
        <w:rPr>
          <w:b/>
        </w:rPr>
        <w:t>Date or Time Horizon: 1000 CE</w:t>
      </w:r>
    </w:p>
    <w:p>
      <w:pPr>
        <w:pStyle w:val="Normal"/>
        <w:rPr>
          <w:b/>
          <w:b/>
        </w:rPr>
      </w:pPr>
      <w:r>
        <w:rPr>
          <w:b/>
        </w:rPr>
        <w:t>Geographical Area: Caribbean, Classic Taino Area</w:t>
      </w:r>
    </w:p>
    <w:p>
      <w:pPr>
        <w:pStyle w:val="Normal"/>
        <w:rPr>
          <w:b/>
          <w:b/>
        </w:rPr>
      </w:pPr>
      <w:r>
        <w:rPr>
          <w:b/>
        </w:rPr>
        <w:t>Map:</w:t>
      </w:r>
    </w:p>
    <w:p>
      <w:pPr>
        <w:pStyle w:val="Normal"/>
        <w:rPr>
          <w:b/>
          <w:b/>
        </w:rPr>
      </w:pPr>
      <w:r>
        <w:rPr>
          <w:lang w:val="en-US" w:eastAsia="en-US"/>
        </w:rPr>
        <w:drawing>
          <wp:inline distT="0" distB="0" distL="0" distR="0">
            <wp:extent cx="6494145" cy="354012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5" t="-9" r="-5" b="-9"/>
                    <a:stretch>
                      <a:fillRect/>
                    </a:stretch>
                  </pic:blipFill>
                  <pic:spPr bwMode="auto">
                    <a:xfrm>
                      <a:off x="0" y="0"/>
                      <a:ext cx="6494145" cy="3540125"/>
                    </a:xfrm>
                    <a:prstGeom prst="rect">
                      <a:avLst/>
                    </a:prstGeom>
                  </pic:spPr>
                </pic:pic>
              </a:graphicData>
            </a:graphic>
          </wp:inline>
        </w:drawing>
      </w:r>
    </w:p>
    <w:p>
      <w:pPr>
        <w:pStyle w:val="Normal"/>
        <w:rPr>
          <w:b/>
          <w:b/>
        </w:rPr>
      </w:pPr>
      <w:r>
        <w:rPr>
          <w:b/>
        </w:rPr>
        <w:t>Caribbean c 1500 after http://www.latinamericanstudies.org/maps/Ciboney-Taino-Carib-map.jpg</w:t>
      </w:r>
    </w:p>
    <w:p>
      <w:pPr>
        <w:pStyle w:val="Normal"/>
        <w:rPr>
          <w:b/>
          <w:b/>
        </w:rPr>
      </w:pPr>
      <w:r>
        <w:rPr>
          <w:b/>
        </w:rPr>
      </w:r>
    </w:p>
    <w:p>
      <w:pPr>
        <w:pStyle w:val="Normal"/>
        <w:rPr>
          <w:b/>
          <w:b/>
        </w:rPr>
      </w:pPr>
      <w:r>
        <w:rPr>
          <w:b/>
        </w:rPr>
        <w:t>Cultural Affiliation: Classic Taino</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ind w:start="144" w:end="144" w:hanging="0"/>
        <w:rPr>
          <w:color w:val="000000"/>
          <w:szCs w:val="15"/>
        </w:rPr>
      </w:pPr>
      <w:r>
        <w:rPr>
          <w:color w:val="000000"/>
          <w:szCs w:val="15"/>
        </w:rPr>
        <w:t xml:space="preserve">Bower, B </w:t>
      </w:r>
    </w:p>
    <w:p>
      <w:pPr>
        <w:pStyle w:val="Normal"/>
        <w:ind w:start="144" w:end="144" w:hanging="0"/>
        <w:rPr/>
      </w:pPr>
      <w:r>
        <w:rPr>
          <w:color w:val="000000"/>
          <w:szCs w:val="15"/>
        </w:rPr>
        <w:t xml:space="preserve">1994 Maya Beginnings Extend Back at Belize Site. </w:t>
      </w:r>
      <w:r>
        <w:rPr>
          <w:iCs/>
          <w:color w:val="000000"/>
          <w:szCs w:val="15"/>
        </w:rPr>
        <w:t xml:space="preserve">Science News 145(18):279.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Arqueologica,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1985, pp. 65-71, Puerto Rico. </w:t>
      </w:r>
    </w:p>
    <w:p>
      <w:pPr>
        <w:pStyle w:val="Normal"/>
        <w:ind w:start="144" w:end="144" w:hanging="0"/>
        <w:rPr>
          <w:color w:val="000000"/>
          <w:szCs w:val="15"/>
        </w:rPr>
      </w:pPr>
      <w:r>
        <w:rPr>
          <w:color w:val="000000"/>
          <w:szCs w:val="15"/>
        </w:rPr>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Coe, W. R., II </w:t>
      </w:r>
    </w:p>
    <w:p>
      <w:pPr>
        <w:pStyle w:val="Style10"/>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0"/>
        <w:ind w:start="144" w:end="144" w:hanging="0"/>
        <w:rPr>
          <w:iCs/>
          <w:color w:val="000000"/>
          <w:sz w:val="24"/>
          <w:szCs w:val="15"/>
        </w:rPr>
      </w:pPr>
      <w:r>
        <w:rPr>
          <w:iCs/>
          <w:color w:val="000000"/>
          <w:sz w:val="24"/>
          <w:szCs w:val="15"/>
        </w:rPr>
      </w:r>
    </w:p>
    <w:p>
      <w:pPr>
        <w:pStyle w:val="Style10"/>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0"/>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Gerrell, P. R., J. F. Scarry, and J. S. Dunbar </w:t>
      </w:r>
    </w:p>
    <w:p>
      <w:pPr>
        <w:pStyle w:val="Style10"/>
        <w:ind w:start="144" w:end="144" w:hanging="0"/>
        <w:rPr/>
      </w:pPr>
      <w:r>
        <w:rPr>
          <w:color w:val="000000"/>
          <w:sz w:val="24"/>
          <w:szCs w:val="15"/>
        </w:rPr>
        <w:t xml:space="preserve">1991 Analysis of Early Archaic Unifacial Adzes from North Florida. </w:t>
      </w:r>
      <w:r>
        <w:rPr>
          <w:iCs/>
          <w:color w:val="000000"/>
          <w:sz w:val="24"/>
          <w:szCs w:val="15"/>
        </w:rPr>
        <w:t>The Florida Archaeologist 44(1):3-16.</w:t>
      </w:r>
    </w:p>
    <w:p>
      <w:pPr>
        <w:pStyle w:val="Style10"/>
        <w:ind w:start="144" w:end="144" w:hanging="0"/>
        <w:rPr>
          <w:iCs/>
          <w:color w:val="000000"/>
          <w:sz w:val="24"/>
          <w:szCs w:val="15"/>
        </w:rPr>
      </w:pPr>
      <w:r>
        <w:rPr>
          <w:iCs/>
          <w:color w:val="000000"/>
          <w:sz w:val="24"/>
          <w:szCs w:val="15"/>
        </w:rPr>
      </w:r>
    </w:p>
    <w:p>
      <w:pPr>
        <w:pStyle w:val="Style10"/>
        <w:ind w:start="144" w:end="144" w:hanging="0"/>
        <w:rPr>
          <w:rStyle w:val="HTMLCite"/>
          <w:i w:val="false"/>
          <w:i w:val="false"/>
          <w:sz w:val="24"/>
        </w:rPr>
      </w:pPr>
      <w:r>
        <w:rPr>
          <w:rStyle w:val="HTMLCite"/>
          <w:sz w:val="24"/>
        </w:rPr>
        <w:t xml:space="preserve">Giménez Fernández, Manuel. </w:t>
      </w:r>
    </w:p>
    <w:p>
      <w:pPr>
        <w:pStyle w:val="Style10"/>
        <w:ind w:start="144" w:end="144" w:hanging="0"/>
        <w:rPr>
          <w:rStyle w:val="HTMLCite"/>
          <w:i w:val="false"/>
          <w:i w:val="false"/>
          <w:iCs w:val="false"/>
          <w:sz w:val="24"/>
        </w:rPr>
      </w:pPr>
      <w:r>
        <w:rPr>
          <w:rStyle w:val="HTMLCite"/>
          <w:sz w:val="24"/>
        </w:rPr>
        <w:t>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0"/>
        <w:ind w:start="144" w:end="144" w:hanging="0"/>
        <w:rPr>
          <w:rStyle w:val="HTMLCite"/>
          <w:i w:val="false"/>
          <w:i w:val="false"/>
          <w:iCs w:val="false"/>
          <w:color w:val="000000"/>
          <w:sz w:val="24"/>
          <w:szCs w:val="15"/>
        </w:rPr>
      </w:pPr>
      <w:r>
        <w:rPr/>
      </w:r>
    </w:p>
    <w:p>
      <w:pPr>
        <w:pStyle w:val="Style10"/>
        <w:ind w:start="144" w:end="144" w:hanging="0"/>
        <w:rPr>
          <w:color w:val="000000"/>
          <w:sz w:val="24"/>
          <w:szCs w:val="15"/>
        </w:rPr>
      </w:pPr>
      <w:r>
        <w:rPr>
          <w:color w:val="000000"/>
          <w:sz w:val="24"/>
          <w:szCs w:val="15"/>
        </w:rPr>
        <w:t xml:space="preserve">Hester, T. R. </w:t>
      </w:r>
    </w:p>
    <w:p>
      <w:pPr>
        <w:pStyle w:val="Style10"/>
        <w:ind w:start="144" w:end="144" w:hanging="0"/>
        <w:rPr>
          <w:color w:val="000000"/>
          <w:sz w:val="24"/>
          <w:szCs w:val="15"/>
        </w:rPr>
      </w:pPr>
      <w:r>
        <w:rPr>
          <w:color w:val="000000"/>
          <w:sz w:val="24"/>
          <w:szCs w:val="15"/>
        </w:rPr>
        <w:t xml:space="preserve">1994a An Introduction to the Colha Preceramic Project. </w:t>
      </w:r>
    </w:p>
    <w:p>
      <w:pPr>
        <w:pStyle w:val="Style10"/>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J. Shafer, and T. C. Kelly </w:t>
      </w:r>
    </w:p>
    <w:p>
      <w:pPr>
        <w:pStyle w:val="Style10"/>
        <w:ind w:start="144" w:end="144" w:hanging="0"/>
        <w:rPr>
          <w:color w:val="000000"/>
          <w:sz w:val="24"/>
          <w:szCs w:val="15"/>
        </w:rPr>
      </w:pPr>
      <w:r>
        <w:rPr>
          <w:color w:val="000000"/>
          <w:sz w:val="24"/>
          <w:szCs w:val="15"/>
        </w:rPr>
        <w:t xml:space="preserve">1980 A Preliminary Note on Artifacts from Lowe Ranch: </w:t>
      </w:r>
    </w:p>
    <w:p>
      <w:pPr>
        <w:pStyle w:val="Style10"/>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 xml:space="preserve">Hester, J. D. Eaton, and H. J. Shafer. </w:t>
      </w:r>
    </w:p>
    <w:p>
      <w:pPr>
        <w:pStyle w:val="Style10"/>
        <w:ind w:start="144" w:end="144" w:hanging="0"/>
        <w:jc w:val="both"/>
        <w:rPr>
          <w:color w:val="000000"/>
          <w:sz w:val="24"/>
          <w:szCs w:val="15"/>
        </w:rPr>
      </w:pPr>
      <w:r>
        <w:rPr>
          <w:color w:val="000000"/>
          <w:sz w:val="24"/>
          <w:szCs w:val="15"/>
        </w:rPr>
        <w:t xml:space="preserve">1992. Center for Archaeological Research, University of Texas, San Antonio, and Centro Studi Ricerche Ligabue, Venezia. San Antonio.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Iceland, D. Hudler, R. Brewington, H. J. Shafer, and J. Lohse </w:t>
      </w:r>
    </w:p>
    <w:p>
      <w:pPr>
        <w:pStyle w:val="Style10"/>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Iceland, D. Hudler, and H. J. Shafer </w:t>
      </w:r>
    </w:p>
    <w:p>
      <w:pPr>
        <w:pStyle w:val="Style10"/>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Hudler, D. B., T. R. Hester, and H. B. Iceland </w:t>
      </w:r>
    </w:p>
    <w:p>
      <w:pPr>
        <w:pStyle w:val="Style10"/>
        <w:ind w:start="144" w:end="144" w:hanging="0"/>
        <w:rPr>
          <w:color w:val="000000"/>
          <w:sz w:val="24"/>
          <w:szCs w:val="15"/>
        </w:rPr>
      </w:pPr>
      <w:r>
        <w:rPr>
          <w:color w:val="000000"/>
          <w:sz w:val="24"/>
          <w:szCs w:val="15"/>
        </w:rPr>
        <w:t xml:space="preserve">1995 The Colha Preceramic Project: A Status Report. </w:t>
      </w:r>
    </w:p>
    <w:p>
      <w:pPr>
        <w:pStyle w:val="Style10"/>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Iceland, H. B., and T. R. Hester </w:t>
      </w:r>
    </w:p>
    <w:p>
      <w:pPr>
        <w:pStyle w:val="Style10"/>
        <w:ind w:start="144" w:end="144" w:hanging="0"/>
        <w:rPr>
          <w:color w:val="000000"/>
          <w:sz w:val="24"/>
          <w:szCs w:val="15"/>
        </w:rPr>
      </w:pPr>
      <w:r>
        <w:rPr>
          <w:color w:val="000000"/>
          <w:sz w:val="24"/>
          <w:szCs w:val="15"/>
        </w:rPr>
        <w:t xml:space="preserve">1996a The Colha Preceramic Project: A Status Report. </w:t>
      </w:r>
    </w:p>
    <w:p>
      <w:pPr>
        <w:pStyle w:val="Style10"/>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Iceland, H. B., T. R. Hester, H. 1. Shafer, and D. Hudler </w:t>
      </w:r>
    </w:p>
    <w:p>
      <w:pPr>
        <w:pStyle w:val="Style10"/>
        <w:ind w:start="144" w:end="144" w:hanging="0"/>
        <w:rPr/>
      </w:pPr>
      <w:r>
        <w:rPr>
          <w:color w:val="000000"/>
          <w:sz w:val="24"/>
          <w:szCs w:val="15"/>
        </w:rPr>
        <w:t xml:space="preserve">1995 The Colha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Jacob, J. S. </w:t>
      </w:r>
    </w:p>
    <w:p>
      <w:pPr>
        <w:pStyle w:val="Style10"/>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Jones, J. G. </w:t>
      </w:r>
    </w:p>
    <w:p>
      <w:pPr>
        <w:pStyle w:val="Style10"/>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Kelly, T. C. </w:t>
      </w:r>
    </w:p>
    <w:p>
      <w:pPr>
        <w:pStyle w:val="Style10"/>
        <w:ind w:start="144" w:end="144" w:hanging="0"/>
        <w:rPr>
          <w:color w:val="000000"/>
          <w:sz w:val="24"/>
          <w:szCs w:val="15"/>
        </w:rPr>
      </w:pPr>
      <w:r>
        <w:rPr>
          <w:color w:val="000000"/>
          <w:sz w:val="24"/>
          <w:szCs w:val="15"/>
        </w:rPr>
        <w:t xml:space="preserve">1993 Preceramic Projectile-Point Typology in Belize. </w:t>
      </w:r>
    </w:p>
    <w:p>
      <w:pPr>
        <w:pStyle w:val="Style10"/>
        <w:ind w:start="144" w:end="144" w:hanging="0"/>
        <w:rPr>
          <w:iCs/>
          <w:color w:val="000000"/>
          <w:sz w:val="24"/>
          <w:szCs w:val="15"/>
        </w:rPr>
      </w:pPr>
      <w:r>
        <w:rPr>
          <w:iCs/>
          <w:color w:val="000000"/>
          <w:sz w:val="24"/>
          <w:szCs w:val="15"/>
        </w:rPr>
        <w:t xml:space="preserve">Ancient Mesoamerica 4:205-227. </w:t>
      </w:r>
    </w:p>
    <w:p>
      <w:pPr>
        <w:pStyle w:val="Style10"/>
        <w:ind w:start="144" w:end="144" w:hanging="0"/>
        <w:rPr>
          <w:iCs/>
          <w:color w:val="000000"/>
          <w:sz w:val="24"/>
          <w:szCs w:val="15"/>
        </w:rPr>
      </w:pPr>
      <w:r>
        <w:rPr>
          <w:iCs/>
          <w:color w:val="000000"/>
          <w:sz w:val="24"/>
          <w:szCs w:val="15"/>
        </w:rPr>
      </w:r>
    </w:p>
    <w:p>
      <w:pPr>
        <w:pStyle w:val="Style10"/>
        <w:ind w:start="144" w:end="144" w:hanging="0"/>
        <w:rPr>
          <w:color w:val="000000"/>
          <w:sz w:val="24"/>
          <w:szCs w:val="15"/>
        </w:rPr>
      </w:pPr>
      <w:r>
        <w:rPr>
          <w:color w:val="000000"/>
          <w:sz w:val="24"/>
          <w:szCs w:val="15"/>
        </w:rPr>
        <w:t xml:space="preserve">Lohse, 1. C. </w:t>
      </w:r>
    </w:p>
    <w:p>
      <w:pPr>
        <w:pStyle w:val="Style10"/>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MacNeish, R, S., and A. Nelken-Turner </w:t>
      </w:r>
    </w:p>
    <w:p>
      <w:pPr>
        <w:pStyle w:val="Style10"/>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0"/>
        <w:ind w:start="144" w:end="144" w:hanging="0"/>
        <w:rPr>
          <w:color w:val="000000"/>
          <w:sz w:val="24"/>
          <w:szCs w:val="15"/>
        </w:rPr>
      </w:pPr>
      <w:r>
        <w:rPr>
          <w:color w:val="000000"/>
          <w:sz w:val="24"/>
          <w:szCs w:val="15"/>
        </w:rPr>
      </w:r>
    </w:p>
    <w:p>
      <w:pPr>
        <w:pStyle w:val="Style10"/>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0"/>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Moore, C. </w:t>
      </w:r>
    </w:p>
    <w:p>
      <w:pPr>
        <w:pStyle w:val="Style10"/>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 xml:space="preserve">edited by 1. Haviser and E. N. Ayubi, pp. 92-104. Reports of the Archaeological-Anthropological Institute of the Netherlands Antilles, No.9. Willemstad, Curacao.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Pantel, A. G. </w:t>
      </w:r>
    </w:p>
    <w:p>
      <w:pPr>
        <w:pStyle w:val="Style10"/>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0"/>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0"/>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Rouse, I. </w:t>
      </w:r>
    </w:p>
    <w:p>
      <w:pPr>
        <w:pStyle w:val="Style10"/>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0"/>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0"/>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0"/>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0"/>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Shafer, H. </w:t>
      </w:r>
    </w:p>
    <w:p>
      <w:pPr>
        <w:pStyle w:val="Style10"/>
        <w:ind w:start="144" w:end="144" w:hanging="0"/>
        <w:jc w:val="both"/>
        <w:rPr/>
      </w:pPr>
      <w:r>
        <w:rPr>
          <w:color w:val="000000"/>
          <w:sz w:val="24"/>
          <w:szCs w:val="15"/>
        </w:rPr>
        <w:t xml:space="preserve">1991 Late Preclassic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Shafer, H. 1., T. R. Hester, and T. C. Kelly </w:t>
      </w:r>
    </w:p>
    <w:p>
      <w:pPr>
        <w:pStyle w:val="Style10"/>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Steward. 1. H. </w:t>
      </w:r>
    </w:p>
    <w:p>
      <w:pPr>
        <w:pStyle w:val="Style10"/>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Stuiver, M., and R. S. Kra </w:t>
      </w:r>
    </w:p>
    <w:p>
      <w:pPr>
        <w:pStyle w:val="Style10"/>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0"/>
        <w:ind w:start="144" w:end="144" w:hanging="0"/>
        <w:rPr>
          <w:color w:val="000000"/>
          <w:sz w:val="24"/>
          <w:szCs w:val="15"/>
        </w:rPr>
      </w:pPr>
      <w:r>
        <w:rPr>
          <w:color w:val="000000"/>
          <w:sz w:val="24"/>
          <w:szCs w:val="15"/>
        </w:rPr>
      </w:r>
    </w:p>
    <w:p>
      <w:pPr>
        <w:pStyle w:val="Style10"/>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0"/>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0"/>
        <w:ind w:start="144" w:end="144" w:hanging="0"/>
        <w:jc w:val="both"/>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Veloz Maggiolo, M. </w:t>
      </w:r>
    </w:p>
    <w:p>
      <w:pPr>
        <w:pStyle w:val="Style10"/>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Veloz Maggiolo, M., and B. Vega </w:t>
      </w:r>
    </w:p>
    <w:p>
      <w:pPr>
        <w:pStyle w:val="Style10"/>
        <w:ind w:start="144" w:end="144" w:hanging="0"/>
        <w:rPr>
          <w:color w:val="000000"/>
          <w:sz w:val="24"/>
          <w:szCs w:val="15"/>
        </w:rPr>
      </w:pPr>
      <w:r>
        <w:rPr>
          <w:color w:val="000000"/>
          <w:sz w:val="24"/>
          <w:szCs w:val="15"/>
        </w:rPr>
        <w:t xml:space="preserve">1982 The Antillean Pre-ceramic: A New Approximation. </w:t>
      </w:r>
    </w:p>
    <w:p>
      <w:pPr>
        <w:pStyle w:val="Style10"/>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0"/>
        <w:ind w:start="144" w:end="144" w:hanging="0"/>
        <w:rPr>
          <w:iCs/>
          <w:color w:val="000000"/>
          <w:w w:val="92"/>
          <w:sz w:val="24"/>
          <w:szCs w:val="15"/>
        </w:rPr>
      </w:pPr>
      <w:r>
        <w:rPr>
          <w:iCs/>
          <w:color w:val="000000"/>
          <w:w w:val="92"/>
          <w:sz w:val="24"/>
          <w:szCs w:val="15"/>
        </w:rPr>
      </w:r>
    </w:p>
    <w:p>
      <w:pPr>
        <w:pStyle w:val="Style10"/>
        <w:ind w:start="144" w:end="144" w:hanging="0"/>
        <w:rPr>
          <w:color w:val="000000"/>
          <w:sz w:val="24"/>
          <w:szCs w:val="15"/>
        </w:rPr>
      </w:pPr>
      <w:r>
        <w:rPr>
          <w:color w:val="000000"/>
          <w:sz w:val="24"/>
          <w:szCs w:val="15"/>
        </w:rPr>
        <w:t xml:space="preserve">Wilson, S. M. </w:t>
      </w:r>
    </w:p>
    <w:p>
      <w:pPr>
        <w:pStyle w:val="Style10"/>
        <w:ind w:start="144" w:end="144" w:hanging="0"/>
        <w:rPr>
          <w:color w:val="000000"/>
          <w:sz w:val="24"/>
          <w:szCs w:val="15"/>
        </w:rPr>
      </w:pPr>
      <w:r>
        <w:rPr>
          <w:color w:val="000000"/>
          <w:sz w:val="24"/>
          <w:szCs w:val="15"/>
        </w:rPr>
        <w:t xml:space="preserve">1996 The Rise of Complex Societies in the Caribbean. </w:t>
      </w:r>
    </w:p>
    <w:p>
      <w:pPr>
        <w:pStyle w:val="Style10"/>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0"/>
        <w:ind w:start="144" w:end="144" w:hanging="0"/>
        <w:rPr>
          <w:color w:val="000000"/>
          <w:w w:val="114"/>
          <w:sz w:val="24"/>
          <w:szCs w:val="15"/>
        </w:rPr>
      </w:pPr>
      <w:r>
        <w:rPr>
          <w:color w:val="000000"/>
          <w:w w:val="114"/>
          <w:sz w:val="24"/>
          <w:szCs w:val="15"/>
        </w:rPr>
      </w:r>
    </w:p>
    <w:p>
      <w:pPr>
        <w:pStyle w:val="Style10"/>
        <w:ind w:start="144" w:end="144" w:hanging="0"/>
        <w:rPr>
          <w:color w:val="000000"/>
          <w:sz w:val="24"/>
          <w:szCs w:val="15"/>
        </w:rPr>
      </w:pPr>
      <w:r>
        <w:rPr>
          <w:color w:val="000000"/>
          <w:sz w:val="24"/>
          <w:szCs w:val="15"/>
        </w:rPr>
        <w:t xml:space="preserve">Wood, G. P. </w:t>
      </w:r>
    </w:p>
    <w:p>
      <w:pPr>
        <w:pStyle w:val="Style10"/>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Zeitlin, R. N. </w:t>
      </w:r>
    </w:p>
    <w:p>
      <w:pPr>
        <w:pStyle w:val="Style10"/>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0"/>
        <w:ind w:start="144" w:end="144" w:hanging="0"/>
        <w:rPr>
          <w:iCs/>
          <w:color w:val="000000"/>
          <w:w w:val="92"/>
          <w:sz w:val="24"/>
          <w:szCs w:val="15"/>
        </w:rPr>
      </w:pPr>
      <w:r>
        <w:rPr>
          <w:iCs/>
          <w:color w:val="000000"/>
          <w:w w:val="92"/>
          <w:sz w:val="24"/>
          <w:szCs w:val="15"/>
        </w:rPr>
      </w:r>
    </w:p>
    <w:p>
      <w:pPr>
        <w:pStyle w:val="Style10"/>
        <w:ind w:start="144" w:end="144" w:hanging="0"/>
        <w:rPr>
          <w:color w:val="000000"/>
          <w:sz w:val="24"/>
          <w:szCs w:val="15"/>
        </w:rPr>
      </w:pPr>
      <w:r>
        <w:rPr>
          <w:color w:val="000000"/>
          <w:sz w:val="24"/>
          <w:szCs w:val="15"/>
        </w:rPr>
        <w:t xml:space="preserve">Zeitlin, R. N., and 1. F. Zeitlin </w:t>
      </w:r>
    </w:p>
    <w:p>
      <w:pPr>
        <w:pStyle w:val="Style10"/>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r>
        <w:br w:type="page"/>
      </w:r>
    </w:p>
    <w:p>
      <w:pPr>
        <w:pStyle w:val="Heading1"/>
        <w:rPr/>
      </w:pPr>
      <w:r>
        <w:rPr/>
        <w:t>Order details</w:t>
      </w:r>
    </w:p>
    <w:p>
      <w:pPr>
        <w:pStyle w:val="Heading2"/>
        <w:rPr/>
      </w:pPr>
      <w:r>
        <w:rPr/>
        <w:t>Sales order</w:t>
      </w:r>
    </w:p>
    <w:p>
      <w:pPr>
        <w:pStyle w:val="Normal"/>
        <w:rPr/>
      </w:pPr>
      <w:r>
        <w:rPr/>
        <w:t xml:space="preserve">Sold by </w:t>
      </w:r>
      <w:hyperlink r:id="rId6" w:tgtFrame="_blank">
        <w:r>
          <w:rPr>
            <w:rStyle w:val="StrongEmphasis"/>
            <w:color w:val="0000FF"/>
            <w:u w:val="single"/>
          </w:rPr>
          <w:t>user1billion</w:t>
        </w:r>
      </w:hyperlink>
      <w:r>
        <w:rPr/>
        <w:t xml:space="preserve"> ( </w:t>
      </w:r>
      <w:hyperlink r:id="rId7" w:tgtFrame="_blank">
        <w:r>
          <w:rPr>
            <w:rStyle w:val="InternetLink"/>
          </w:rPr>
          <w:t>787</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r>
        <w:rPr>
          <w:rStyle w:val="StrongEmphasis"/>
        </w:rPr>
        <w:t>- Tuesday, Feb 2, 2016</w:t>
      </w:r>
      <w:r>
        <w:rPr>
          <w:rStyle w:val="Ngbindingngscope"/>
        </w:rPr>
        <w:t xml:space="preserve"> </w:t>
      </w:r>
    </w:p>
    <w:p>
      <w:pPr>
        <w:pStyle w:val="Normal"/>
        <w:rPr/>
      </w:pPr>
      <w:r>
        <w:rPr/>
        <w:drawing>
          <wp:inline distT="0" distB="0" distL="0" distR="0">
            <wp:extent cx="3810000" cy="2143125"/>
            <wp:effectExtent l="0" t="0" r="0" b="0"/>
            <wp:docPr id="5" name="27209822706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2098227060_itemImage" descr="" title=""/>
                    <pic:cNvPicPr>
                      <a:picLocks noChangeAspect="1" noChangeArrowheads="1"/>
                    </pic:cNvPicPr>
                  </pic:nvPicPr>
                  <pic:blipFill>
                    <a:blip r:embed="rId8"/>
                    <a:srcRect l="-7" t="-12" r="-7" b="-12"/>
                    <a:stretch>
                      <a:fillRect/>
                    </a:stretch>
                  </pic:blipFill>
                  <pic:spPr bwMode="auto">
                    <a:xfrm>
                      <a:off x="0" y="0"/>
                      <a:ext cx="3810000" cy="2143125"/>
                    </a:xfrm>
                    <a:prstGeom prst="rect">
                      <a:avLst/>
                    </a:prstGeom>
                  </pic:spPr>
                </pic:pic>
              </a:graphicData>
            </a:graphic>
          </wp:inline>
        </w:drawing>
      </w:r>
    </w:p>
    <w:p>
      <w:pPr>
        <w:pStyle w:val="Heading4"/>
        <w:spacing w:lineRule="atLeast" w:line="137"/>
        <w:ind w:start="34" w:hanging="0"/>
        <w:rPr/>
      </w:pPr>
      <w:hyperlink r:id="rId9" w:tgtFrame="_blank">
        <w:r>
          <w:rPr>
            <w:rStyle w:val="InternetLink"/>
          </w:rPr>
          <w:t>Taino Stone Carving - Pre Columbian Very Large Double Edged Axe Head</w:t>
        </w:r>
      </w:hyperlink>
      <w:r>
        <w:rPr/>
        <w:t xml:space="preserve"> </w:t>
      </w:r>
    </w:p>
    <w:tbl>
      <w:tblPr>
        <w:tblW w:w="3974" w:type="dxa"/>
        <w:jc w:val="start"/>
        <w:tblInd w:w="-45" w:type="dxa"/>
        <w:tblBorders/>
        <w:tblCellMar>
          <w:top w:w="15" w:type="dxa"/>
          <w:start w:w="15" w:type="dxa"/>
          <w:bottom w:w="15" w:type="dxa"/>
          <w:end w:w="15" w:type="dxa"/>
        </w:tblCellMar>
      </w:tblPr>
      <w:tblGrid>
        <w:gridCol w:w="1682"/>
        <w:gridCol w:w="2292"/>
      </w:tblGrid>
      <w:tr>
        <w:trPr/>
        <w:tc>
          <w:tcPr>
            <w:tcW w:w="1682" w:type="dxa"/>
            <w:tcBorders/>
            <w:shd w:fill="auto" w:val="clear"/>
            <w:vAlign w:val="center"/>
          </w:tcPr>
          <w:p>
            <w:pPr>
              <w:pStyle w:val="Normal"/>
              <w:rPr/>
            </w:pPr>
            <w:r>
              <w:rPr/>
              <w:t>Item price</w:t>
            </w:r>
          </w:p>
        </w:tc>
        <w:tc>
          <w:tcPr>
            <w:tcW w:w="2292" w:type="dxa"/>
            <w:tcBorders/>
            <w:shd w:fill="auto" w:val="clear"/>
            <w:vAlign w:val="center"/>
          </w:tcPr>
          <w:p>
            <w:pPr>
              <w:pStyle w:val="Normal"/>
              <w:rPr/>
            </w:pPr>
            <w:r>
              <w:rPr/>
              <w:t>$449.00</w:t>
            </w:r>
          </w:p>
        </w:tc>
      </w:tr>
      <w:tr>
        <w:trPr/>
        <w:tc>
          <w:tcPr>
            <w:tcW w:w="1682" w:type="dxa"/>
            <w:tcBorders/>
            <w:shd w:fill="auto" w:val="clear"/>
            <w:vAlign w:val="center"/>
          </w:tcPr>
          <w:p>
            <w:pPr>
              <w:pStyle w:val="Normal"/>
              <w:rPr/>
            </w:pPr>
            <w:r>
              <w:rPr/>
              <w:t>Quantity</w:t>
            </w:r>
          </w:p>
        </w:tc>
        <w:tc>
          <w:tcPr>
            <w:tcW w:w="229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292" w:type="dxa"/>
            <w:tcBorders/>
            <w:shd w:fill="auto" w:val="clear"/>
            <w:vAlign w:val="center"/>
          </w:tcPr>
          <w:p>
            <w:pPr>
              <w:pStyle w:val="Normal"/>
              <w:rPr/>
            </w:pPr>
            <w:r>
              <w:rPr/>
              <w:t>272098227060</w:t>
            </w:r>
          </w:p>
        </w:tc>
      </w:tr>
      <w:tr>
        <w:trPr/>
        <w:tc>
          <w:tcPr>
            <w:tcW w:w="1682" w:type="dxa"/>
            <w:tcBorders/>
            <w:shd w:fill="auto" w:val="clear"/>
            <w:vAlign w:val="center"/>
          </w:tcPr>
          <w:p>
            <w:pPr>
              <w:pStyle w:val="Normal"/>
              <w:rPr/>
            </w:pPr>
            <w:r>
              <w:rPr/>
              <w:t>Shipping service</w:t>
            </w:r>
          </w:p>
        </w:tc>
        <w:tc>
          <w:tcPr>
            <w:tcW w:w="2292" w:type="dxa"/>
            <w:tcBorders/>
            <w:shd w:fill="auto" w:val="clear"/>
            <w:vAlign w:val="center"/>
          </w:tcPr>
          <w:p>
            <w:pPr>
              <w:pStyle w:val="Normal"/>
              <w:rPr/>
            </w:pPr>
            <w:r>
              <w:rPr>
                <w:rStyle w:val="Ngbindingngscope"/>
              </w:rPr>
              <w:t>Standard Int'l Shipping</w:t>
            </w:r>
            <w:r>
              <w:rPr>
                <w:rStyle w:val="Ngscope"/>
              </w:rPr>
              <w:t xml:space="preserve"> </w:t>
            </w:r>
          </w:p>
        </w:tc>
      </w:tr>
    </w:tbl>
    <w:p>
      <w:pPr>
        <w:pStyle w:val="Normal"/>
        <w:spacing w:before="34" w:after="34"/>
        <w:rPr/>
      </w:pPr>
      <w:r>
        <w:rPr/>
        <w:drawing>
          <wp:inline distT="0" distB="0" distL="0" distR="0">
            <wp:extent cx="3810000" cy="2143125"/>
            <wp:effectExtent l="0" t="0" r="0" b="0"/>
            <wp:docPr id="6" name="27209822712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72098227121_itemImage" descr="" title=""/>
                    <pic:cNvPicPr>
                      <a:picLocks noChangeAspect="1" noChangeArrowheads="1"/>
                    </pic:cNvPicPr>
                  </pic:nvPicPr>
                  <pic:blipFill>
                    <a:blip r:embed="rId10"/>
                    <a:srcRect l="-7" t="-12" r="-7" b="-12"/>
                    <a:stretch>
                      <a:fillRect/>
                    </a:stretch>
                  </pic:blipFill>
                  <pic:spPr bwMode="auto">
                    <a:xfrm>
                      <a:off x="0" y="0"/>
                      <a:ext cx="3810000" cy="2143125"/>
                    </a:xfrm>
                    <a:prstGeom prst="rect">
                      <a:avLst/>
                    </a:prstGeom>
                  </pic:spPr>
                </pic:pic>
              </a:graphicData>
            </a:graphic>
          </wp:inline>
        </w:drawing>
      </w:r>
    </w:p>
    <w:p>
      <w:pPr>
        <w:pStyle w:val="Heading4"/>
        <w:spacing w:lineRule="atLeast" w:line="137"/>
        <w:ind w:start="34" w:hanging="0"/>
        <w:rPr/>
      </w:pPr>
      <w:hyperlink r:id="rId11" w:tgtFrame="_blank">
        <w:r>
          <w:rPr>
            <w:rStyle w:val="InternetLink"/>
          </w:rPr>
          <w:t>Taino Stone Carving Axe Head - Pre Columbian</w:t>
        </w:r>
      </w:hyperlink>
      <w:r>
        <w:rPr/>
        <w:t xml:space="preserve"> </w:t>
      </w:r>
    </w:p>
    <w:tbl>
      <w:tblPr>
        <w:tblW w:w="3974" w:type="dxa"/>
        <w:jc w:val="start"/>
        <w:tblInd w:w="-45" w:type="dxa"/>
        <w:tblBorders/>
        <w:tblCellMar>
          <w:top w:w="15" w:type="dxa"/>
          <w:start w:w="15" w:type="dxa"/>
          <w:bottom w:w="15" w:type="dxa"/>
          <w:end w:w="15" w:type="dxa"/>
        </w:tblCellMar>
      </w:tblPr>
      <w:tblGrid>
        <w:gridCol w:w="1682"/>
        <w:gridCol w:w="2292"/>
      </w:tblGrid>
      <w:tr>
        <w:trPr/>
        <w:tc>
          <w:tcPr>
            <w:tcW w:w="1682" w:type="dxa"/>
            <w:tcBorders/>
            <w:shd w:fill="auto" w:val="clear"/>
            <w:vAlign w:val="center"/>
          </w:tcPr>
          <w:p>
            <w:pPr>
              <w:pStyle w:val="Normal"/>
              <w:rPr/>
            </w:pPr>
            <w:r>
              <w:rPr/>
              <w:t>Item price</w:t>
            </w:r>
          </w:p>
        </w:tc>
        <w:tc>
          <w:tcPr>
            <w:tcW w:w="2292" w:type="dxa"/>
            <w:tcBorders/>
            <w:shd w:fill="auto" w:val="clear"/>
            <w:vAlign w:val="center"/>
          </w:tcPr>
          <w:p>
            <w:pPr>
              <w:pStyle w:val="Normal"/>
              <w:rPr/>
            </w:pPr>
            <w:r>
              <w:rPr/>
              <w:t>$259.00</w:t>
            </w:r>
          </w:p>
        </w:tc>
      </w:tr>
      <w:tr>
        <w:trPr/>
        <w:tc>
          <w:tcPr>
            <w:tcW w:w="1682" w:type="dxa"/>
            <w:tcBorders/>
            <w:shd w:fill="auto" w:val="clear"/>
            <w:vAlign w:val="center"/>
          </w:tcPr>
          <w:p>
            <w:pPr>
              <w:pStyle w:val="Normal"/>
              <w:rPr/>
            </w:pPr>
            <w:r>
              <w:rPr/>
              <w:t>Quantity</w:t>
            </w:r>
          </w:p>
        </w:tc>
        <w:tc>
          <w:tcPr>
            <w:tcW w:w="229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292" w:type="dxa"/>
            <w:tcBorders/>
            <w:shd w:fill="auto" w:val="clear"/>
            <w:vAlign w:val="center"/>
          </w:tcPr>
          <w:p>
            <w:pPr>
              <w:pStyle w:val="Normal"/>
              <w:rPr/>
            </w:pPr>
            <w:r>
              <w:rPr/>
              <w:t>272098227121</w:t>
            </w:r>
          </w:p>
        </w:tc>
      </w:tr>
      <w:tr>
        <w:trPr/>
        <w:tc>
          <w:tcPr>
            <w:tcW w:w="1682" w:type="dxa"/>
            <w:tcBorders/>
            <w:shd w:fill="auto" w:val="clear"/>
            <w:vAlign w:val="center"/>
          </w:tcPr>
          <w:p>
            <w:pPr>
              <w:pStyle w:val="Normal"/>
              <w:rPr/>
            </w:pPr>
            <w:r>
              <w:rPr/>
              <w:t>Shipping service</w:t>
            </w:r>
          </w:p>
        </w:tc>
        <w:tc>
          <w:tcPr>
            <w:tcW w:w="2292" w:type="dxa"/>
            <w:tcBorders/>
            <w:shd w:fill="auto" w:val="clear"/>
            <w:vAlign w:val="center"/>
          </w:tcPr>
          <w:p>
            <w:pPr>
              <w:pStyle w:val="Normal"/>
              <w:rPr/>
            </w:pPr>
            <w:r>
              <w:rPr>
                <w:rStyle w:val="Ngbindingngscope"/>
              </w:rPr>
              <w:t>Standard Int'l Shipping</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$708.00</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$39.90</w:t>
            </w:r>
            <w:r>
              <w:rPr/>
              <w:t xml:space="preserve"> </w:t>
            </w:r>
          </w:p>
        </w:tc>
      </w:tr>
    </w:tbl>
    <w:p>
      <w:pPr>
        <w:pStyle w:val="Normal"/>
        <w:spacing w:before="0" w:after="206"/>
        <w:rPr>
          <w:b/>
          <w:b/>
          <w:bCs/>
        </w:rPr>
      </w:pPr>
      <w:r>
        <w:rPr>
          <w:b/>
          <w:bCs/>
        </w:rPr>
        <w:t>Total</w:t>
      </w:r>
    </w:p>
    <w:p>
      <w:pPr>
        <w:pStyle w:val="Normal"/>
        <w:rPr/>
      </w:pPr>
      <w:r>
        <w:rPr>
          <w:rStyle w:val="Ordertotalcostngbinding"/>
        </w:rPr>
        <w:t>$747.90</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0">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myworld.ebay.com/user1billion" TargetMode="External"/><Relationship Id="rId7" Type="http://schemas.openxmlformats.org/officeDocument/2006/relationships/hyperlink" Target="http://feedback.ebay.com/ws/eBayISAPI.dll?ViewFeedback&amp;userid=user1billion" TargetMode="External"/><Relationship Id="rId8" Type="http://schemas.openxmlformats.org/officeDocument/2006/relationships/image" Target="media/image5.jpeg"/><Relationship Id="rId9" Type="http://schemas.openxmlformats.org/officeDocument/2006/relationships/hyperlink" Target="http://www.ebay.com/itm/272098227060" TargetMode="External"/><Relationship Id="rId10" Type="http://schemas.openxmlformats.org/officeDocument/2006/relationships/image" Target="media/image6.jpeg"/><Relationship Id="rId11" Type="http://schemas.openxmlformats.org/officeDocument/2006/relationships/hyperlink" Target="http://www.ebay.com/itm/272098227121"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2018-08-01T12:33:00Z</dcterms:created>
  <dc:creator>owner</dc:creator>
  <dc:description/>
  <cp:keywords/>
  <dc:language>en-US</dc:language>
  <cp:lastModifiedBy>Ralph Coffman</cp:lastModifiedBy>
  <dcterms:modified xsi:type="dcterms:W3CDTF">2018-08-03T02:51:00Z</dcterms:modified>
  <cp:revision>3</cp:revision>
  <dc:subject/>
  <dc:title>DIS-AM,C-Taino-Axe-Bird</dc:title>
</cp:coreProperties>
</file>