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A000-AM,C-Taino-Cemi-Owl-1000 CE</w:t>
      </w:r>
    </w:p>
    <w:p>
      <w:pPr>
        <w:pStyle w:val="Normal"/>
        <w:rPr/>
      </w:pPr>
      <w:r>
        <w:rPr/>
        <w:drawing>
          <wp:inline distT="0" distB="0" distL="0" distR="0">
            <wp:extent cx="2416175" cy="64344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7" r="-20" b="-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1617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61210" cy="63766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5" r="-1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 18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2018-08-05T17:29:00Z</dcterms:created>
  <dc:creator>owner</dc:creator>
  <dc:description/>
  <cp:keywords/>
  <dc:language>en-US</dc:language>
  <cp:lastModifiedBy>Ralph Coffman</cp:lastModifiedBy>
  <dcterms:modified xsi:type="dcterms:W3CDTF">2018-08-05T17:29:00Z</dcterms:modified>
  <cp:revision>2</cp:revision>
  <dc:subject/>
  <dc:title>DIS-AM,C-Taino-Cemi-Owl</dc:title>
</cp:coreProperties>
</file>