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EA" w:rsidRDefault="003433B4">
      <w:bookmarkStart w:id="0" w:name="_GoBack"/>
      <w:r>
        <w:t>A000-</w:t>
      </w:r>
      <w:r w:rsidR="00710D89" w:rsidRPr="00710D89">
        <w:t xml:space="preserve"> </w:t>
      </w:r>
      <w:r w:rsidR="00710D89">
        <w:t>China-</w:t>
      </w:r>
      <w:r w:rsidR="00710D89" w:rsidRPr="0032648E">
        <w:t>Liangzhu--Cylindrical Horse Hoof Hair Holder--Jade</w:t>
      </w:r>
      <w:r w:rsidR="00710D89">
        <w:rPr>
          <w:rStyle w:val="shorttext"/>
          <w:rFonts w:hint="eastAsia"/>
          <w:lang w:eastAsia="zh-CN"/>
        </w:rPr>
        <w:t>良渚</w:t>
      </w:r>
      <w:r w:rsidR="00710D89">
        <w:rPr>
          <w:rStyle w:val="shorttext"/>
          <w:rFonts w:hint="eastAsia"/>
          <w:lang w:eastAsia="zh-CN"/>
        </w:rPr>
        <w:t xml:space="preserve"> - </w:t>
      </w:r>
      <w:r w:rsidR="00710D89">
        <w:rPr>
          <w:rStyle w:val="shorttext"/>
          <w:rFonts w:hint="eastAsia"/>
          <w:lang w:eastAsia="zh-CN"/>
        </w:rPr>
        <w:t>圆柱马蹄头</w:t>
      </w:r>
      <w:r w:rsidR="00710D89">
        <w:rPr>
          <w:rStyle w:val="shorttext"/>
          <w:rFonts w:hint="eastAsia"/>
          <w:lang w:eastAsia="zh-CN"/>
        </w:rPr>
        <w:t xml:space="preserve"> - </w:t>
      </w:r>
      <w:r w:rsidR="00710D89">
        <w:rPr>
          <w:rStyle w:val="shorttext"/>
          <w:rFonts w:hint="eastAsia"/>
          <w:lang w:eastAsia="zh-CN"/>
        </w:rPr>
        <w:t>玉</w:t>
      </w:r>
      <w:r w:rsidR="00710D89">
        <w:rPr>
          <w:rStyle w:val="shorttext"/>
          <w:rFonts w:ascii="MS Mincho" w:eastAsia="MS Mincho" w:hAnsi="MS Mincho" w:cs="MS Mincho" w:hint="eastAsia"/>
          <w:lang w:eastAsia="zh-CN"/>
        </w:rPr>
        <w:t>器</w:t>
      </w:r>
      <w:r w:rsidR="00710D89">
        <w:rPr>
          <w:rStyle w:val="shorttext"/>
          <w:rFonts w:ascii="MS Mincho" w:eastAsia="DengXian" w:hAnsi="MS Mincho" w:cs="MS Mincho" w:hint="eastAsia"/>
          <w:lang w:eastAsia="zh-CN"/>
        </w:rPr>
        <w:t>-</w:t>
      </w:r>
      <w:r w:rsidR="00710D89">
        <w:t>3400-2250 BCE-</w:t>
      </w:r>
      <w:r w:rsidR="00710D89">
        <w:t>8 in</w:t>
      </w:r>
    </w:p>
    <w:bookmarkEnd w:id="0"/>
    <w:p w:rsidR="00976DEA" w:rsidRPr="00976DEA" w:rsidRDefault="00976DEA" w:rsidP="00976DEA">
      <w:pPr>
        <w:spacing w:after="0" w:line="240" w:lineRule="auto"/>
        <w:rPr>
          <w:rFonts w:eastAsia="Times New Roman"/>
        </w:rPr>
      </w:pPr>
      <w:r w:rsidRPr="00976DEA">
        <w:rPr>
          <w:rFonts w:eastAsia="Times New Roman"/>
          <w:bCs/>
          <w:noProof/>
        </w:rPr>
        <w:drawing>
          <wp:inline distT="0" distB="0" distL="0" distR="0">
            <wp:extent cx="1203305" cy="2156460"/>
            <wp:effectExtent l="0" t="0" r="0" b="0"/>
            <wp:docPr id="4" name="Picture 4"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0121B5FE" wp14:editId="054F7132">
            <wp:extent cx="1562100" cy="2206356"/>
            <wp:effectExtent l="0" t="0" r="0" b="3810"/>
            <wp:docPr id="2" name="Picture 2" descr="A rare and well-carved green jade ‘hoof-shaped‘ tubular ornament.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539D57FA" wp14:editId="5644FB05">
            <wp:extent cx="1287414" cy="1915795"/>
            <wp:effectExtent l="0" t="0" r="8255" b="8255"/>
            <wp:docPr id="1" name="Picture 1" descr="A rare and well-carved green jade ‘hoof-shaped‘ tubular ornament.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ind w:left="360"/>
        <w:rPr>
          <w:rFonts w:eastAsia="Times New Roman"/>
        </w:rPr>
      </w:pPr>
    </w:p>
    <w:p w:rsidR="00976DEA" w:rsidRDefault="00976DEA" w:rsidP="00976DEA">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203E2DB5" wp14:editId="0C6C487B">
            <wp:extent cx="1219200" cy="2184946"/>
            <wp:effectExtent l="0" t="0" r="0" b="6350"/>
            <wp:docPr id="3" name="Picture 3" descr="A rare and well-carved green jade ‘hoof-shaped‘ tubular ornamen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rPr>
          <w:rStyle w:val="Strong"/>
          <w:rFonts w:eastAsia="Times New Roman"/>
          <w:b w:val="0"/>
        </w:rPr>
      </w:pPr>
      <w:r>
        <w:rPr>
          <w:rStyle w:val="Strong"/>
        </w:rPr>
        <w:t>Case no.: 5</w:t>
      </w:r>
    </w:p>
    <w:p w:rsidR="00976DEA" w:rsidRDefault="00976DEA" w:rsidP="00976DEA">
      <w:pPr>
        <w:rPr>
          <w:rStyle w:val="Strong"/>
        </w:rPr>
      </w:pPr>
      <w:r>
        <w:rPr>
          <w:rStyle w:val="Strong"/>
        </w:rPr>
        <w:t>Accession Number:</w:t>
      </w:r>
    </w:p>
    <w:p w:rsidR="00976DEA" w:rsidRDefault="00976DEA" w:rsidP="00976DEA">
      <w:pPr>
        <w:pStyle w:val="ListParagraph"/>
        <w:numPr>
          <w:ilvl w:val="0"/>
          <w:numId w:val="1"/>
        </w:numPr>
        <w:rPr>
          <w:rStyle w:val="Strong"/>
        </w:rPr>
      </w:pPr>
      <w:r>
        <w:rPr>
          <w:rStyle w:val="Strong"/>
        </w:rPr>
        <w:t xml:space="preserve">Formal Label: </w:t>
      </w:r>
    </w:p>
    <w:p w:rsidR="00976DEA" w:rsidRDefault="00976DEA" w:rsidP="00976DEA">
      <w:pPr>
        <w:pStyle w:val="ListParagraph"/>
        <w:numPr>
          <w:ilvl w:val="0"/>
          <w:numId w:val="1"/>
        </w:numPr>
        <w:rPr>
          <w:b/>
        </w:rPr>
      </w:pPr>
      <w:r w:rsidRPr="00976DEA">
        <w:rPr>
          <w:b/>
        </w:rPr>
        <w:t>Display Description:</w:t>
      </w:r>
    </w:p>
    <w:p w:rsidR="003433B4" w:rsidRPr="00976DEA" w:rsidRDefault="00A83651" w:rsidP="00976DEA">
      <w:pPr>
        <w:pStyle w:val="ListParagraph"/>
        <w:numPr>
          <w:ilvl w:val="0"/>
          <w:numId w:val="1"/>
        </w:numPr>
        <w:rPr>
          <w:b/>
        </w:rPr>
      </w:pPr>
      <w:r>
        <w:rPr>
          <w:b/>
        </w:rPr>
        <w:t>Li</w:t>
      </w:r>
      <w:r w:rsidR="003433B4">
        <w:rPr>
          <w:b/>
        </w:rPr>
        <w:t xml:space="preserve">angzhu </w:t>
      </w:r>
      <w:r w:rsidR="003433B4">
        <w:t>Tubular Hair Holders were placed in</w:t>
      </w:r>
      <w:r>
        <w:t xml:space="preserve"> </w:t>
      </w:r>
      <w:r w:rsidR="003433B4">
        <w:t>g</w:t>
      </w:r>
      <w:r>
        <w:t>ra</w:t>
      </w:r>
      <w:r w:rsidR="003433B4">
        <w:t xml:space="preserve">ves with the deceased in order to contain hair so that it was protected from the decaying body. They have been excavated from Liangzhu sites and have a proven archaeological record. They are mostly misunderstood by the art world since their expertise is not archaeological. </w:t>
      </w:r>
    </w:p>
    <w:p w:rsidR="00976DEA" w:rsidRPr="00976DEA" w:rsidRDefault="00976DEA" w:rsidP="00976DEA">
      <w:pPr>
        <w:pStyle w:val="ListParagraph"/>
        <w:numPr>
          <w:ilvl w:val="0"/>
          <w:numId w:val="1"/>
        </w:numPr>
        <w:rPr>
          <w:b/>
        </w:rPr>
      </w:pPr>
      <w:r w:rsidRPr="00976DEA">
        <w:rPr>
          <w:b/>
        </w:rPr>
        <w:t>LC Classification:</w:t>
      </w:r>
    </w:p>
    <w:p w:rsidR="00976DEA" w:rsidRDefault="00976DEA" w:rsidP="00976DEA">
      <w:pPr>
        <w:pStyle w:val="ListParagraph"/>
        <w:numPr>
          <w:ilvl w:val="0"/>
          <w:numId w:val="1"/>
        </w:numPr>
      </w:pPr>
      <w:r>
        <w:rPr>
          <w:rStyle w:val="Strong"/>
        </w:rPr>
        <w:t>Date or Time Horizon:</w:t>
      </w:r>
      <w:r>
        <w:t xml:space="preserve"> </w:t>
      </w:r>
    </w:p>
    <w:p w:rsidR="00976DEA" w:rsidRDefault="00976DEA" w:rsidP="00976DEA">
      <w:pPr>
        <w:pStyle w:val="ListParagraph"/>
        <w:numPr>
          <w:ilvl w:val="0"/>
          <w:numId w:val="1"/>
        </w:numPr>
      </w:pPr>
      <w:r>
        <w:rPr>
          <w:rStyle w:val="Strong"/>
        </w:rPr>
        <w:t>Geographical Area:</w:t>
      </w:r>
      <w:r>
        <w:t xml:space="preserve"> </w:t>
      </w:r>
    </w:p>
    <w:p w:rsidR="00976DEA" w:rsidRPr="00976DEA" w:rsidRDefault="00976DEA" w:rsidP="00976DEA">
      <w:pPr>
        <w:pStyle w:val="ListParagraph"/>
        <w:numPr>
          <w:ilvl w:val="0"/>
          <w:numId w:val="1"/>
        </w:numPr>
        <w:rPr>
          <w:b/>
        </w:rPr>
      </w:pPr>
      <w:r w:rsidRPr="00976DEA">
        <w:rPr>
          <w:b/>
        </w:rPr>
        <w:t xml:space="preserve">Map: </w:t>
      </w:r>
    </w:p>
    <w:p w:rsidR="00976DEA" w:rsidRPr="00976DEA" w:rsidRDefault="00976DEA" w:rsidP="00976DEA">
      <w:pPr>
        <w:pStyle w:val="ListParagraph"/>
        <w:numPr>
          <w:ilvl w:val="0"/>
          <w:numId w:val="1"/>
        </w:numPr>
        <w:rPr>
          <w:b/>
        </w:rPr>
      </w:pPr>
      <w:r w:rsidRPr="00976DEA">
        <w:rPr>
          <w:b/>
        </w:rPr>
        <w:t>GPS coordinates:</w:t>
      </w:r>
    </w:p>
    <w:p w:rsidR="00976DEA" w:rsidRDefault="00976DEA" w:rsidP="00976DEA">
      <w:pPr>
        <w:pStyle w:val="ListParagraph"/>
        <w:numPr>
          <w:ilvl w:val="0"/>
          <w:numId w:val="1"/>
        </w:numPr>
      </w:pPr>
      <w:r>
        <w:rPr>
          <w:rStyle w:val="Strong"/>
        </w:rPr>
        <w:t>Cultural Affiliation:</w:t>
      </w:r>
      <w:r>
        <w:t xml:space="preserve"> </w:t>
      </w:r>
    </w:p>
    <w:p w:rsidR="00976DEA" w:rsidRDefault="00976DEA" w:rsidP="00976DEA">
      <w:pPr>
        <w:pStyle w:val="ListParagraph"/>
        <w:numPr>
          <w:ilvl w:val="0"/>
          <w:numId w:val="1"/>
        </w:numPr>
      </w:pPr>
      <w:r>
        <w:rPr>
          <w:rStyle w:val="Strong"/>
        </w:rPr>
        <w:t>Media:</w:t>
      </w:r>
      <w:r>
        <w:t xml:space="preserve"> </w:t>
      </w:r>
    </w:p>
    <w:p w:rsidR="00976DEA" w:rsidRPr="00976DEA" w:rsidRDefault="00976DEA" w:rsidP="00976DEA">
      <w:pPr>
        <w:pStyle w:val="ListParagraph"/>
        <w:numPr>
          <w:ilvl w:val="0"/>
          <w:numId w:val="1"/>
        </w:numPr>
        <w:rPr>
          <w:b/>
        </w:rPr>
      </w:pPr>
      <w:r>
        <w:rPr>
          <w:rStyle w:val="Strong"/>
        </w:rPr>
        <w:t>Dimensions:</w:t>
      </w:r>
      <w:r>
        <w:t xml:space="preserve"> </w:t>
      </w:r>
    </w:p>
    <w:p w:rsidR="00976DEA" w:rsidRDefault="00976DEA" w:rsidP="00976DEA">
      <w:pPr>
        <w:pStyle w:val="ListParagraph"/>
        <w:numPr>
          <w:ilvl w:val="0"/>
          <w:numId w:val="1"/>
        </w:numPr>
        <w:rPr>
          <w:rStyle w:val="Strong"/>
        </w:rPr>
      </w:pPr>
      <w:r>
        <w:rPr>
          <w:rStyle w:val="Strong"/>
        </w:rPr>
        <w:t xml:space="preserve">Weight:  </w:t>
      </w:r>
    </w:p>
    <w:p w:rsidR="00976DEA" w:rsidRDefault="00976DEA" w:rsidP="00976DEA">
      <w:pPr>
        <w:pStyle w:val="ListParagraph"/>
        <w:numPr>
          <w:ilvl w:val="0"/>
          <w:numId w:val="1"/>
        </w:numPr>
        <w:rPr>
          <w:rStyle w:val="Strong"/>
        </w:rPr>
      </w:pPr>
      <w:r>
        <w:rPr>
          <w:rStyle w:val="Strong"/>
        </w:rPr>
        <w:lastRenderedPageBreak/>
        <w:t>Condition:</w:t>
      </w:r>
    </w:p>
    <w:p w:rsidR="00976DEA" w:rsidRPr="00976DEA" w:rsidRDefault="00976DEA" w:rsidP="00976DEA">
      <w:pPr>
        <w:pStyle w:val="ListParagraph"/>
        <w:numPr>
          <w:ilvl w:val="0"/>
          <w:numId w:val="1"/>
        </w:numPr>
        <w:rPr>
          <w:b/>
        </w:rPr>
      </w:pPr>
      <w:r>
        <w:rPr>
          <w:rStyle w:val="Strong"/>
        </w:rPr>
        <w:t>Provenance:</w:t>
      </w:r>
      <w:r>
        <w:t xml:space="preserve"> </w:t>
      </w:r>
    </w:p>
    <w:p w:rsidR="00976DEA" w:rsidRPr="00976DEA" w:rsidRDefault="00976DEA" w:rsidP="00976DEA">
      <w:pPr>
        <w:pStyle w:val="ListParagraph"/>
        <w:numPr>
          <w:ilvl w:val="0"/>
          <w:numId w:val="1"/>
        </w:numPr>
        <w:rPr>
          <w:b/>
        </w:rPr>
      </w:pPr>
      <w:r w:rsidRPr="00976DEA">
        <w:rPr>
          <w:b/>
        </w:rPr>
        <w:t>Discussion:</w:t>
      </w:r>
    </w:p>
    <w:p w:rsidR="00976DEA" w:rsidRDefault="00976DEA" w:rsidP="00976DEA">
      <w:pPr>
        <w:pStyle w:val="ListParagraph"/>
        <w:numPr>
          <w:ilvl w:val="0"/>
          <w:numId w:val="1"/>
        </w:numPr>
      </w:pPr>
      <w:r w:rsidRPr="00976DEA">
        <w:rPr>
          <w:b/>
        </w:rPr>
        <w:t>References:</w:t>
      </w:r>
    </w:p>
    <w:p w:rsidR="00976DEA" w:rsidRPr="00976DEA" w:rsidRDefault="00976DEA" w:rsidP="00976DEA">
      <w:pPr>
        <w:spacing w:before="100" w:beforeAutospacing="1" w:after="0" w:afterAutospacing="1" w:line="240" w:lineRule="auto"/>
        <w:rPr>
          <w:rFonts w:eastAsia="Times New Roman"/>
        </w:rPr>
      </w:pPr>
    </w:p>
    <w:p w:rsidR="00976DEA" w:rsidRPr="00976DEA" w:rsidRDefault="00976DEA" w:rsidP="00976DEA">
      <w:pPr>
        <w:spacing w:before="100" w:beforeAutospacing="1" w:after="100" w:afterAutospacing="1" w:line="240" w:lineRule="auto"/>
        <w:outlineLvl w:val="0"/>
        <w:rPr>
          <w:rFonts w:eastAsia="Times New Roman"/>
          <w:b/>
          <w:kern w:val="36"/>
          <w:sz w:val="48"/>
          <w:szCs w:val="48"/>
        </w:rPr>
      </w:pPr>
      <w:r w:rsidRPr="00976DEA">
        <w:rPr>
          <w:rFonts w:eastAsia="Times New Roman"/>
          <w:b/>
          <w:kern w:val="36"/>
          <w:sz w:val="48"/>
          <w:szCs w:val="48"/>
        </w:rPr>
        <w:t>A rare and well-carved green jade ‘hoof-</w:t>
      </w:r>
      <w:proofErr w:type="gramStart"/>
      <w:r w:rsidRPr="00976DEA">
        <w:rPr>
          <w:rFonts w:eastAsia="Times New Roman"/>
          <w:b/>
          <w:kern w:val="36"/>
          <w:sz w:val="48"/>
          <w:szCs w:val="48"/>
        </w:rPr>
        <w:t>shaped‘ tubular</w:t>
      </w:r>
      <w:proofErr w:type="gramEnd"/>
      <w:r w:rsidRPr="00976DEA">
        <w:rPr>
          <w:rFonts w:eastAsia="Times New Roman"/>
          <w:b/>
          <w:kern w:val="36"/>
          <w:sz w:val="48"/>
          <w:szCs w:val="48"/>
        </w:rPr>
        <w:t xml:space="preserve"> ornament.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China, Neolithic Period, Hongshan Culture, </w:t>
      </w:r>
      <w:proofErr w:type="spellStart"/>
      <w:r w:rsidRPr="00976DEA">
        <w:rPr>
          <w:rFonts w:eastAsia="Times New Roman"/>
        </w:rPr>
        <w:t>Niuheliang</w:t>
      </w:r>
      <w:proofErr w:type="spellEnd"/>
      <w:r w:rsidRPr="00976DEA">
        <w:rPr>
          <w:rFonts w:eastAsia="Times New Roman"/>
        </w:rPr>
        <w:t xml:space="preserve"> Phase, circa 3500–3000 B.C. </w:t>
      </w:r>
      <w:r w:rsidRPr="00976DEA">
        <w:rPr>
          <w:rFonts w:eastAsia="Times New Roman"/>
        </w:rPr>
        <w:br/>
      </w:r>
      <w:r w:rsidRPr="00976DEA">
        <w:rPr>
          <w:rFonts w:eastAsia="Times New Roman"/>
        </w:rPr>
        <w:br/>
        <w:t xml:space="preserve">The present object is accompanied by a written report (no. AA03-01573-01) by Dr. R. </w:t>
      </w:r>
      <w:proofErr w:type="spellStart"/>
      <w:r w:rsidRPr="00976DEA">
        <w:rPr>
          <w:rFonts w:eastAsia="Times New Roman"/>
        </w:rPr>
        <w:t>Neunteufel</w:t>
      </w:r>
      <w:proofErr w:type="spellEnd"/>
      <w:r w:rsidRPr="00976DEA">
        <w:rPr>
          <w:rFonts w:eastAsia="Times New Roman"/>
        </w:rPr>
        <w:t xml:space="preserve">, Antique Analytics GmbH, (11.4.2003). </w:t>
      </w:r>
      <w:proofErr w:type="spellStart"/>
      <w:r w:rsidRPr="00976DEA">
        <w:rPr>
          <w:rFonts w:eastAsia="Times New Roman"/>
        </w:rPr>
        <w:t>Neunteufel</w:t>
      </w:r>
      <w:proofErr w:type="spellEnd"/>
      <w:r w:rsidRPr="00976DEA">
        <w:rPr>
          <w:rFonts w:eastAsia="Times New Roman"/>
        </w:rPr>
        <w:t xml:space="preserve"> writes: ’The findings show that the </w:t>
      </w:r>
      <w:proofErr w:type="spellStart"/>
      <w:r w:rsidRPr="00976DEA">
        <w:rPr>
          <w:rFonts w:eastAsia="Times New Roman"/>
        </w:rPr>
        <w:t>analysed</w:t>
      </w:r>
      <w:proofErr w:type="spellEnd"/>
      <w:r w:rsidRPr="00976DEA">
        <w:rPr>
          <w:rFonts w:eastAsia="Times New Roman"/>
        </w:rPr>
        <w:t xml:space="preserve"> object consists of nephrite. Apart from a modern finishing polish no hints have been found for a processing of the original surface with modern, </w:t>
      </w:r>
      <w:proofErr w:type="spellStart"/>
      <w:r w:rsidRPr="00976DEA">
        <w:rPr>
          <w:rFonts w:eastAsia="Times New Roman"/>
        </w:rPr>
        <w:t>fastly</w:t>
      </w:r>
      <w:proofErr w:type="spellEnd"/>
      <w:r w:rsidRPr="00976DEA">
        <w:rPr>
          <w:rFonts w:eastAsia="Times New Roman"/>
        </w:rPr>
        <w:t xml:space="preserve"> rotating tools. The changes in the surface suggest that the object was exposed to weathering for a longer time.’</w:t>
      </w:r>
      <w:r w:rsidRPr="00976DEA">
        <w:rPr>
          <w:rFonts w:eastAsia="Times New Roman"/>
        </w:rPr>
        <w:br/>
        <w:t xml:space="preserve">We are grateful to Filippo </w:t>
      </w:r>
      <w:proofErr w:type="spellStart"/>
      <w:r w:rsidRPr="00976DEA">
        <w:rPr>
          <w:rFonts w:eastAsia="Times New Roman"/>
        </w:rPr>
        <w:t>Salviati</w:t>
      </w:r>
      <w:proofErr w:type="spellEnd"/>
      <w:r w:rsidRPr="00976DEA">
        <w:rPr>
          <w:rFonts w:eastAsia="Times New Roman"/>
        </w:rPr>
        <w:t>, Professor for Chinese Art and Archaeology, Italian Institute of Oriental Studies, ‘Sapienza’ University, Rome, for classifying, and dating the object following first-hand examination.</w:t>
      </w:r>
      <w:r w:rsidRPr="00976DEA">
        <w:rPr>
          <w:rFonts w:eastAsia="Times New Roman"/>
        </w:rPr>
        <w:br/>
      </w:r>
      <w:r w:rsidRPr="00976DEA">
        <w:rPr>
          <w:rFonts w:eastAsia="Times New Roman"/>
        </w:rPr>
        <w:br/>
        <w:t xml:space="preserve">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w:t>
      </w:r>
      <w:proofErr w:type="spellStart"/>
      <w:r w:rsidRPr="00976DEA">
        <w:rPr>
          <w:rFonts w:eastAsia="Times New Roman"/>
        </w:rPr>
        <w:t>favoured</w:t>
      </w:r>
      <w:proofErr w:type="spellEnd"/>
      <w:r w:rsidRPr="00976DEA">
        <w:rPr>
          <w:rFonts w:eastAsia="Times New Roman"/>
        </w:rPr>
        <w:t xml:space="preserve"> the use of jade as a symbolic material suited to convey the authority and status of individuals and it is the first complex society to emerge in Northeast China in the pre-historic period. </w:t>
      </w:r>
      <w:r w:rsidRPr="00976DEA">
        <w:rPr>
          <w:rFonts w:eastAsia="Times New Roman"/>
        </w:rPr>
        <w:br/>
      </w:r>
      <w:r w:rsidRPr="00976DEA">
        <w:rPr>
          <w:rFonts w:eastAsia="Times New Roman"/>
        </w:rPr>
        <w:br/>
        <w:t xml:space="preserve">Some of the best known and more extensively excavated archaeological sites belong to the late phase of this culture, dated to ca.3650-3150 BC, and include a number of ceremonial </w:t>
      </w:r>
      <w:proofErr w:type="spellStart"/>
      <w:r w:rsidRPr="00976DEA">
        <w:rPr>
          <w:rFonts w:eastAsia="Times New Roman"/>
        </w:rPr>
        <w:t>centres</w:t>
      </w:r>
      <w:proofErr w:type="spellEnd"/>
      <w:r w:rsidRPr="00976DEA">
        <w:rPr>
          <w:rFonts w:eastAsia="Times New Roman"/>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Pr="00976DEA">
        <w:rPr>
          <w:rFonts w:eastAsia="Times New Roman"/>
        </w:rPr>
        <w:t>centres</w:t>
      </w:r>
      <w:proofErr w:type="spellEnd"/>
      <w:r w:rsidRPr="00976DEA">
        <w:rPr>
          <w:rFonts w:eastAsia="Times New Roman"/>
        </w:rPr>
        <w:t xml:space="preserve"> is located at </w:t>
      </w:r>
      <w:proofErr w:type="spellStart"/>
      <w:r w:rsidRPr="00976DEA">
        <w:rPr>
          <w:rFonts w:eastAsia="Times New Roman"/>
        </w:rPr>
        <w:t>Niuheliang</w:t>
      </w:r>
      <w:proofErr w:type="spellEnd"/>
      <w:r w:rsidRPr="00976DEA">
        <w:rPr>
          <w:rFonts w:eastAsia="Times New Roman"/>
        </w:rPr>
        <w:t xml:space="preserve">, </w:t>
      </w:r>
      <w:proofErr w:type="spellStart"/>
      <w:r w:rsidRPr="00976DEA">
        <w:rPr>
          <w:rFonts w:eastAsia="Times New Roman"/>
        </w:rPr>
        <w:t>Jianping</w:t>
      </w:r>
      <w:proofErr w:type="spellEnd"/>
      <w:r w:rsidRPr="00976DEA">
        <w:rPr>
          <w:rFonts w:eastAsia="Times New Roman"/>
        </w:rPr>
        <w:t xml:space="preserve"> county, Liaoning Province. </w:t>
      </w:r>
      <w:r w:rsidRPr="00976DEA">
        <w:rPr>
          <w:rFonts w:eastAsia="Times New Roman"/>
        </w:rPr>
        <w:br/>
        <w:t xml:space="preserve">It 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w:t>
      </w:r>
      <w:proofErr w:type="spellStart"/>
      <w:r w:rsidRPr="00976DEA">
        <w:rPr>
          <w:rFonts w:eastAsia="Times New Roman"/>
        </w:rPr>
        <w:t>Niuheliang</w:t>
      </w:r>
      <w:proofErr w:type="spellEnd"/>
      <w:r w:rsidRPr="00976DEA">
        <w:rPr>
          <w:rFonts w:eastAsia="Times New Roman"/>
        </w:rPr>
        <w:t xml:space="preserve">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w:t>
      </w:r>
      <w:proofErr w:type="spellStart"/>
      <w:r w:rsidRPr="00976DEA">
        <w:rPr>
          <w:rFonts w:eastAsia="Times New Roman"/>
        </w:rPr>
        <w:t>Niuheliang</w:t>
      </w:r>
      <w:proofErr w:type="spellEnd"/>
      <w:r w:rsidRPr="00976DEA">
        <w:rPr>
          <w:rFonts w:eastAsia="Times New Roman"/>
        </w:rPr>
        <w:t xml:space="preserve">.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w:t>
      </w:r>
      <w:proofErr w:type="spellStart"/>
      <w:r w:rsidRPr="00976DEA">
        <w:rPr>
          <w:rFonts w:eastAsia="Times New Roman"/>
        </w:rPr>
        <w:t>Niuheliang</w:t>
      </w:r>
      <w:proofErr w:type="spellEnd"/>
      <w:r w:rsidRPr="00976DEA">
        <w:rPr>
          <w:rFonts w:eastAsia="Times New Roman"/>
        </w:rPr>
        <w:t xml:space="preserve">,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w:t>
      </w:r>
      <w:proofErr w:type="spellStart"/>
      <w:r w:rsidRPr="00976DEA">
        <w:rPr>
          <w:rFonts w:eastAsia="Times New Roman"/>
        </w:rPr>
        <w:t>Niuheliang</w:t>
      </w:r>
      <w:proofErr w:type="spellEnd"/>
      <w:r w:rsidRPr="00976DEA">
        <w:rPr>
          <w:rFonts w:eastAsia="Times New Roman"/>
        </w:rPr>
        <w:t xml:space="preserv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 xml:space="preserve">All comparable examples from excavations are from the </w:t>
      </w:r>
      <w:proofErr w:type="spellStart"/>
      <w:r w:rsidRPr="00976DEA">
        <w:rPr>
          <w:rFonts w:eastAsia="Times New Roman"/>
        </w:rPr>
        <w:t>Niuheliang</w:t>
      </w:r>
      <w:proofErr w:type="spellEnd"/>
      <w:r w:rsidRPr="00976DEA">
        <w:rPr>
          <w:rFonts w:eastAsia="Times New Roman"/>
        </w:rPr>
        <w:t xml:space="preserve">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w:t>
      </w:r>
      <w:proofErr w:type="spellStart"/>
      <w:r w:rsidRPr="00976DEA">
        <w:rPr>
          <w:rFonts w:eastAsia="Times New Roman"/>
        </w:rPr>
        <w:t>Niuheliang</w:t>
      </w:r>
      <w:proofErr w:type="spellEnd"/>
      <w:r w:rsidRPr="00976DEA">
        <w:rPr>
          <w:rFonts w:eastAsia="Times New Roman"/>
        </w:rPr>
        <w:t xml:space="preserve">;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w:t>
      </w:r>
      <w:proofErr w:type="spellStart"/>
      <w:r w:rsidRPr="00976DEA">
        <w:rPr>
          <w:rFonts w:eastAsia="Times New Roman"/>
        </w:rPr>
        <w:t>Niuheliang</w:t>
      </w:r>
      <w:proofErr w:type="spellEnd"/>
      <w:r w:rsidRPr="00976DEA">
        <w:rPr>
          <w:rFonts w:eastAsia="Times New Roman"/>
        </w:rPr>
        <w:t xml:space="preserve">,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B60J226;</w:t>
      </w:r>
      <w:r w:rsidRPr="00976DEA">
        <w:rPr>
          <w:rFonts w:eastAsia="Times New Roman"/>
        </w:rPr>
        <w:br/>
        <w:t>- a jade tube from the Grenville L. Winthrop collection, Fogg Museum, is in the Harvard Art Museum, 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Pr="00976DEA">
        <w:rPr>
          <w:rFonts w:eastAsia="Times New Roman"/>
        </w:rPr>
        <w:br/>
      </w:r>
      <w:r w:rsidRPr="00976DEA">
        <w:rPr>
          <w:rFonts w:eastAsia="Times New Roman"/>
          <w:b/>
        </w:rPr>
        <w:t>References:</w:t>
      </w:r>
      <w:r w:rsidRPr="00976DEA">
        <w:rPr>
          <w:rFonts w:eastAsia="Times New Roman"/>
        </w:rPr>
        <w:br/>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w:t>
      </w:r>
      <w:proofErr w:type="spellStart"/>
      <w:r w:rsidRPr="00976DEA">
        <w:rPr>
          <w:rFonts w:ascii="MS Mincho" w:eastAsia="MS Mincho" w:hAnsi="MS Mincho" w:cs="MS Mincho" w:hint="eastAsia"/>
        </w:rPr>
        <w:t>牟永抗</w:t>
      </w:r>
      <w:proofErr w:type="spellEnd"/>
      <w:r w:rsidRPr="00976DEA">
        <w:rPr>
          <w:rFonts w:eastAsia="Times New Roman"/>
        </w:rPr>
        <w:t xml:space="preserve">, </w:t>
      </w:r>
      <w:proofErr w:type="spellStart"/>
      <w:r w:rsidRPr="00976DEA">
        <w:rPr>
          <w:rFonts w:eastAsia="Times New Roman"/>
        </w:rPr>
        <w:t>Zhongguo</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quanji</w:t>
      </w:r>
      <w:proofErr w:type="spellEnd"/>
      <w:r w:rsidRPr="00976DEA">
        <w:rPr>
          <w:rFonts w:eastAsia="Times New Roman"/>
        </w:rPr>
        <w:t xml:space="preserve"> - 1 </w:t>
      </w:r>
      <w:proofErr w:type="spellStart"/>
      <w:r w:rsidRPr="00976DEA">
        <w:rPr>
          <w:rFonts w:eastAsia="Times New Roman"/>
        </w:rPr>
        <w:t>Yuanshi</w:t>
      </w:r>
      <w:proofErr w:type="spellEnd"/>
      <w:r w:rsidRPr="00976DEA">
        <w:rPr>
          <w:rFonts w:eastAsia="Times New Roman"/>
        </w:rPr>
        <w:t xml:space="preserve"> </w:t>
      </w:r>
      <w:proofErr w:type="spellStart"/>
      <w:r w:rsidRPr="00976DEA">
        <w:rPr>
          <w:rFonts w:eastAsia="Times New Roman"/>
        </w:rPr>
        <w:t>shehui</w:t>
      </w:r>
      <w:proofErr w:type="spellEnd"/>
      <w:r w:rsidRPr="00976DEA">
        <w:rPr>
          <w:rFonts w:eastAsia="Times New Roman"/>
        </w:rPr>
        <w:t xml:space="preserve"> </w:t>
      </w:r>
      <w:proofErr w:type="spellStart"/>
      <w:r w:rsidRPr="00976DEA">
        <w:rPr>
          <w:rFonts w:ascii="MS Mincho" w:eastAsia="MS Mincho" w:hAnsi="MS Mincho" w:cs="MS Mincho" w:hint="eastAsia"/>
        </w:rPr>
        <w:t>中國玉器全集</w:t>
      </w:r>
      <w:proofErr w:type="spellEnd"/>
      <w:r w:rsidRPr="00976DEA">
        <w:rPr>
          <w:rFonts w:eastAsia="Times New Roman"/>
        </w:rPr>
        <w:t>–1:</w:t>
      </w:r>
      <w:r w:rsidRPr="00976DEA">
        <w:rPr>
          <w:rFonts w:ascii="MS Mincho" w:eastAsia="MS Mincho" w:hAnsi="MS Mincho" w:cs="MS Mincho" w:hint="eastAsia"/>
        </w:rPr>
        <w:t>原始社會</w:t>
      </w:r>
      <w:r w:rsidRPr="00976DEA">
        <w:rPr>
          <w:rFonts w:eastAsia="Times New Roman"/>
        </w:rPr>
        <w:t xml:space="preserve"> (Chinese Jades: Vol.1, Early Societies), Hebei </w:t>
      </w:r>
      <w:proofErr w:type="spellStart"/>
      <w:r w:rsidRPr="00976DEA">
        <w:rPr>
          <w:rFonts w:eastAsia="Times New Roman"/>
        </w:rPr>
        <w:t>Meishu</w:t>
      </w:r>
      <w:proofErr w:type="spellEnd"/>
      <w:r w:rsidRPr="00976DEA">
        <w:rPr>
          <w:rFonts w:eastAsia="Times New Roman"/>
        </w:rPr>
        <w:t xml:space="preserve"> </w:t>
      </w:r>
      <w:proofErr w:type="spellStart"/>
      <w:r w:rsidRPr="00976DEA">
        <w:rPr>
          <w:rFonts w:eastAsia="Times New Roman"/>
        </w:rPr>
        <w:t>Chubanshe</w:t>
      </w:r>
      <w:proofErr w:type="spellEnd"/>
      <w:r w:rsidRPr="00976DEA">
        <w:rPr>
          <w:rFonts w:eastAsia="Times New Roman"/>
        </w:rPr>
        <w:t>, Shijiazhuang 1993</w:t>
      </w:r>
      <w:r w:rsidRPr="00976DEA">
        <w:rPr>
          <w:rFonts w:eastAsia="Times New Roman"/>
        </w:rPr>
        <w:br/>
      </w:r>
      <w:r w:rsidRPr="00976DEA">
        <w:rPr>
          <w:rFonts w:eastAsia="Times New Roman"/>
        </w:rPr>
        <w:br/>
        <w:t>Rawson, Jessica, Chinese Jade from the Neolithic to the Qing, British Museum Publications, London 1995 (reprinted by Art Media Resources, Chicago in 2002)</w:t>
      </w:r>
      <w:r w:rsidRPr="00976DEA">
        <w:rPr>
          <w:rFonts w:eastAsia="Times New Roman"/>
        </w:rPr>
        <w:br/>
      </w:r>
      <w:r w:rsidRPr="00976DEA">
        <w:rPr>
          <w:rFonts w:eastAsia="Times New Roman"/>
        </w:rPr>
        <w:br/>
        <w:t xml:space="preserve">Yang </w:t>
      </w:r>
      <w:proofErr w:type="spellStart"/>
      <w:r w:rsidRPr="00976DEA">
        <w:rPr>
          <w:rFonts w:eastAsia="Times New Roman"/>
        </w:rPr>
        <w:t>Xiaoneng</w:t>
      </w:r>
      <w:proofErr w:type="spellEnd"/>
      <w:r w:rsidRPr="00976DEA">
        <w:rPr>
          <w:rFonts w:eastAsia="Times New Roman"/>
        </w:rPr>
        <w:t xml:space="preserve"> (ed.), The Golden Age of Chinese Archaeology. Celebrated Discoveries from The People`s Republic of China, New Haven and London, Yale University Press, 1999</w:t>
      </w:r>
      <w:r w:rsidRPr="00976DEA">
        <w:rPr>
          <w:rFonts w:eastAsia="Times New Roman"/>
        </w:rPr>
        <w:br/>
      </w:r>
      <w:r w:rsidRPr="00976DEA">
        <w:rPr>
          <w:rFonts w:eastAsia="Times New Roman"/>
        </w:rPr>
        <w:br/>
        <w:t xml:space="preserve">Zhang </w:t>
      </w:r>
      <w:proofErr w:type="spellStart"/>
      <w:r w:rsidRPr="00976DEA">
        <w:rPr>
          <w:rFonts w:eastAsia="Times New Roman"/>
        </w:rPr>
        <w:t>Shuwei</w:t>
      </w:r>
      <w:proofErr w:type="spellEnd"/>
      <w:r w:rsidRPr="00976DEA">
        <w:rPr>
          <w:rFonts w:eastAsia="Times New Roman"/>
        </w:rPr>
        <w:t xml:space="preserve"> </w:t>
      </w:r>
      <w:proofErr w:type="spellStart"/>
      <w:r w:rsidRPr="00976DEA">
        <w:rPr>
          <w:rFonts w:ascii="MS Mincho" w:eastAsia="MS Mincho" w:hAnsi="MS Mincho" w:cs="MS Mincho" w:hint="eastAsia"/>
        </w:rPr>
        <w:t>張樹偉</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w:t>
      </w:r>
      <w:proofErr w:type="spellStart"/>
      <w:r w:rsidRPr="00976DEA">
        <w:rPr>
          <w:rFonts w:ascii="MS Mincho" w:eastAsia="MS Mincho" w:hAnsi="MS Mincho" w:cs="MS Mincho" w:hint="eastAsia"/>
        </w:rPr>
        <w:t>李向東</w:t>
      </w:r>
      <w:proofErr w:type="spellEnd"/>
      <w:r w:rsidRPr="00976DEA">
        <w:rPr>
          <w:rFonts w:eastAsia="Times New Roman"/>
        </w:rPr>
        <w:t xml:space="preserve"> (eds.), </w:t>
      </w:r>
      <w:proofErr w:type="spellStart"/>
      <w:r w:rsidRPr="00976DEA">
        <w:rPr>
          <w:rFonts w:eastAsia="Times New Roman"/>
        </w:rPr>
        <w:t>Shikong</w:t>
      </w:r>
      <w:proofErr w:type="spellEnd"/>
      <w:r w:rsidRPr="00976DEA">
        <w:rPr>
          <w:rFonts w:eastAsia="Times New Roman"/>
        </w:rPr>
        <w:t xml:space="preserve"> </w:t>
      </w:r>
      <w:proofErr w:type="spellStart"/>
      <w:r w:rsidRPr="00976DEA">
        <w:rPr>
          <w:rFonts w:eastAsia="Times New Roman"/>
        </w:rPr>
        <w:t>chuanyue</w:t>
      </w:r>
      <w:proofErr w:type="spellEnd"/>
      <w:r w:rsidRPr="00976DEA">
        <w:rPr>
          <w:rFonts w:eastAsia="Times New Roman"/>
        </w:rPr>
        <w:t xml:space="preserve">: Hongshan </w:t>
      </w:r>
      <w:proofErr w:type="spellStart"/>
      <w:r w:rsidRPr="00976DEA">
        <w:rPr>
          <w:rFonts w:eastAsia="Times New Roman"/>
        </w:rPr>
        <w:t>wenhua</w:t>
      </w:r>
      <w:proofErr w:type="spellEnd"/>
      <w:r w:rsidRPr="00976DEA">
        <w:rPr>
          <w:rFonts w:eastAsia="Times New Roman"/>
        </w:rPr>
        <w:t xml:space="preserve"> </w:t>
      </w:r>
      <w:proofErr w:type="spellStart"/>
      <w:r w:rsidRPr="00976DEA">
        <w:rPr>
          <w:rFonts w:eastAsia="Times New Roman"/>
        </w:rPr>
        <w:t>chutu</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jing</w:t>
      </w:r>
      <w:proofErr w:type="spellEnd"/>
      <w:r w:rsidRPr="00976DEA">
        <w:rPr>
          <w:rFonts w:eastAsia="Times New Roman"/>
        </w:rPr>
        <w:t xml:space="preserve"> pin </w:t>
      </w:r>
      <w:proofErr w:type="spellStart"/>
      <w:r w:rsidRPr="00976DEA">
        <w:rPr>
          <w:rFonts w:eastAsia="Times New Roman"/>
        </w:rPr>
        <w:t>zhan</w:t>
      </w:r>
      <w:proofErr w:type="spellEnd"/>
      <w:r w:rsidRPr="00976DEA">
        <w:rPr>
          <w:rFonts w:eastAsia="Times New Roman"/>
        </w:rPr>
        <w:t xml:space="preserve"> </w:t>
      </w:r>
      <w:proofErr w:type="spellStart"/>
      <w:r w:rsidRPr="00976DEA">
        <w:rPr>
          <w:rFonts w:ascii="MS Mincho" w:eastAsia="MS Mincho" w:hAnsi="MS Mincho" w:cs="MS Mincho" w:hint="eastAsia"/>
        </w:rPr>
        <w:t>時空穿越</w:t>
      </w:r>
      <w:r w:rsidRPr="00976DEA">
        <w:rPr>
          <w:rFonts w:eastAsia="Times New Roman"/>
        </w:rPr>
        <w:t>:</w:t>
      </w:r>
      <w:r w:rsidRPr="00976DEA">
        <w:rPr>
          <w:rFonts w:ascii="PMingLiU" w:eastAsia="PMingLiU" w:hAnsi="PMingLiU" w:cs="PMingLiU" w:hint="eastAsia"/>
        </w:rPr>
        <w:t>红山文化玉器精品展</w:t>
      </w:r>
      <w:proofErr w:type="spellEnd"/>
      <w:r w:rsidRPr="00976DEA">
        <w:rPr>
          <w:rFonts w:eastAsia="Times New Roman"/>
        </w:rPr>
        <w:t xml:space="preserve"> (Through time and space: Unearthed jade articles of the Hongshan Culture), Beijing 2012</w:t>
      </w:r>
      <w:r w:rsidRPr="00976DEA">
        <w:rPr>
          <w:rFonts w:eastAsia="Times New Roman"/>
        </w:rPr>
        <w:br/>
      </w:r>
      <w:r w:rsidRPr="00976DEA">
        <w:rPr>
          <w:rFonts w:eastAsia="Times New Roman"/>
        </w:rPr>
        <w:br/>
      </w:r>
      <w:r w:rsidRPr="00976DEA">
        <w:rPr>
          <w:rFonts w:eastAsia="Times New Roman"/>
          <w:b/>
        </w:rPr>
        <w:t>Internet links:</w:t>
      </w:r>
      <w:r w:rsidRPr="00976DEA">
        <w:rPr>
          <w:rFonts w:eastAsia="Times New Roman"/>
        </w:rPr>
        <w:br/>
      </w:r>
      <w:r w:rsidRPr="00976DEA">
        <w:rPr>
          <w:rFonts w:eastAsia="Times New Roman"/>
        </w:rPr>
        <w:br/>
      </w:r>
      <w:proofErr w:type="spellStart"/>
      <w:r w:rsidRPr="00976DEA">
        <w:rPr>
          <w:rFonts w:eastAsia="Times New Roman"/>
        </w:rPr>
        <w:t>Sackler</w:t>
      </w:r>
      <w:proofErr w:type="spellEnd"/>
      <w:r w:rsidRPr="00976DEA">
        <w:rPr>
          <w:rFonts w:eastAsia="Times New Roman"/>
        </w:rPr>
        <w:t xml:space="preserve"> examples:</w:t>
      </w:r>
      <w:r w:rsidRPr="00976DEA">
        <w:rPr>
          <w:rFonts w:eastAsia="Times New Roman"/>
        </w:rPr>
        <w:br/>
      </w:r>
      <w:hyperlink r:id="rId11" w:tgtFrame="_blank" w:history="1">
        <w:r w:rsidRPr="00976DEA">
          <w:rPr>
            <w:rFonts w:eastAsia="Times New Roman"/>
            <w:color w:val="0000FF"/>
            <w:u w:val="single"/>
          </w:rPr>
          <w:t>www.asia.si.edu/collections/edan/object.cfm</w:t>
        </w:r>
      </w:hyperlink>
      <w:r w:rsidRPr="00976DEA">
        <w:rPr>
          <w:rFonts w:eastAsia="Times New Roman"/>
        </w:rPr>
        <w:br/>
      </w:r>
      <w:hyperlink r:id="rId12" w:tgtFrame="_blank" w:history="1">
        <w:r w:rsidRPr="00976DEA">
          <w:rPr>
            <w:rFonts w:eastAsia="Times New Roman"/>
            <w:color w:val="0000FF"/>
            <w:u w:val="single"/>
          </w:rPr>
          <w:t>www.asia.si.edu/collections/edan/object.cfm</w:t>
        </w:r>
      </w:hyperlink>
      <w:r w:rsidRPr="00976DEA">
        <w:rPr>
          <w:rFonts w:eastAsia="Times New Roman"/>
        </w:rPr>
        <w:br/>
      </w:r>
      <w:r w:rsidRPr="00976DEA">
        <w:rPr>
          <w:rFonts w:eastAsia="Times New Roman"/>
        </w:rPr>
        <w:br/>
        <w:t>Harvard Art Museum:</w:t>
      </w:r>
      <w:r w:rsidRPr="00976DEA">
        <w:rPr>
          <w:rFonts w:eastAsia="Times New Roman"/>
        </w:rPr>
        <w:br/>
      </w:r>
      <w:hyperlink r:id="rId13" w:tgtFrame="_blank" w:history="1">
        <w:r w:rsidRPr="00976DEA">
          <w:rPr>
            <w:rFonts w:eastAsia="Times New Roman"/>
            <w:color w:val="0000FF"/>
            <w:u w:val="single"/>
          </w:rPr>
          <w:t>www.harvardartmuseums.org/collections/object/204580</w:t>
        </w:r>
      </w:hyperlink>
      <w:r w:rsidRPr="00976DEA">
        <w:rPr>
          <w:rFonts w:eastAsia="Times New Roman"/>
        </w:rPr>
        <w:br/>
      </w:r>
      <w:r w:rsidRPr="00976DEA">
        <w:rPr>
          <w:rFonts w:eastAsia="Times New Roman"/>
        </w:rPr>
        <w:br/>
        <w:t>Asian Art Museum, San Francisco:</w:t>
      </w:r>
      <w:r w:rsidRPr="00976DEA">
        <w:rPr>
          <w:rFonts w:eastAsia="Times New Roman"/>
        </w:rPr>
        <w:br/>
      </w:r>
      <w:hyperlink r:id="rId14" w:tgtFrame="_blank" w:history="1">
        <w:r w:rsidRPr="00976DEA">
          <w:rPr>
            <w:rFonts w:eastAsia="Times New Roman"/>
            <w:color w:val="0000FF"/>
            <w:sz w:val="18"/>
            <w:szCs w:val="18"/>
            <w:u w:val="single"/>
          </w:rPr>
          <w:t>http://searchcollection.asianart.org/view/objects/asitem/nid/4051</w:t>
        </w:r>
      </w:hyperlink>
      <w:r w:rsidRPr="00976DEA">
        <w:rPr>
          <w:rFonts w:eastAsia="Times New Roman"/>
        </w:rPr>
        <w:t xml:space="preserve">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 xml:space="preserve">展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976DEA" w:rsidRPr="00976DEA" w:rsidRDefault="00976DEA" w:rsidP="00976DEA">
      <w:pPr>
        <w:spacing w:before="100" w:beforeAutospacing="1" w:after="100" w:afterAutospacing="1" w:line="240" w:lineRule="auto"/>
        <w:rPr>
          <w:rFonts w:eastAsia="Times New Roman"/>
        </w:rPr>
      </w:pPr>
      <w:proofErr w:type="spellStart"/>
      <w:r w:rsidRPr="00976DEA">
        <w:rPr>
          <w:rFonts w:eastAsia="Times New Roman"/>
        </w:rPr>
        <w:t>Esperta</w:t>
      </w:r>
      <w:proofErr w:type="spellEnd"/>
      <w:r w:rsidRPr="00976DEA">
        <w:rPr>
          <w:rFonts w:eastAsia="Times New Roman"/>
        </w:rPr>
        <w:t xml:space="preserve">: </w:t>
      </w:r>
      <w:hyperlink r:id="rId15"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76DEA" w:rsidRPr="00976DEA" w:rsidRDefault="00976DEA" w:rsidP="00976DEA">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976DEA" w:rsidRPr="00976DEA" w:rsidRDefault="00976DEA" w:rsidP="00976DEA">
      <w:pPr>
        <w:spacing w:after="0" w:line="240" w:lineRule="auto"/>
        <w:rPr>
          <w:rFonts w:eastAsia="Times New Roman"/>
          <w:color w:val="B72841"/>
        </w:rPr>
      </w:pPr>
      <w:proofErr w:type="spellStart"/>
      <w:r w:rsidRPr="00976DEA">
        <w:rPr>
          <w:rFonts w:eastAsia="Times New Roman"/>
          <w:color w:val="B72841"/>
        </w:rPr>
        <w:t>conversione</w:t>
      </w:r>
      <w:proofErr w:type="spellEnd"/>
      <w:r w:rsidRPr="00976DEA">
        <w:rPr>
          <w:rFonts w:eastAsia="Times New Roman"/>
          <w:color w:val="B72841"/>
        </w:rPr>
        <w:t xml:space="preserve"> </w:t>
      </w:r>
      <w:proofErr w:type="spellStart"/>
      <w:r w:rsidRPr="00976DEA">
        <w:rPr>
          <w:rFonts w:eastAsia="Times New Roman"/>
          <w:color w:val="B72841"/>
        </w:rPr>
        <w:t>valuta</w:t>
      </w:r>
      <w:proofErr w:type="spellEnd"/>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EUR 11.</w:t>
      </w:r>
      <w:proofErr w:type="gramStart"/>
      <w:r w:rsidRPr="00976DEA">
        <w:rPr>
          <w:rFonts w:eastAsia="Times New Roman"/>
        </w:rPr>
        <w:t>250 ,</w:t>
      </w:r>
      <w:proofErr w:type="gram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b/>
        </w:rPr>
      </w:pPr>
      <w:r w:rsidRPr="003433B4">
        <w:rPr>
          <w:rFonts w:eastAsia="Times New Roman"/>
          <w:b/>
        </w:rPr>
        <w:t xml:space="preserve">USD </w:t>
      </w:r>
      <w:r w:rsidRPr="00976DEA">
        <w:rPr>
          <w:rFonts w:eastAsia="Times New Roman"/>
          <w:b/>
        </w:rPr>
        <w:t>14.</w:t>
      </w:r>
      <w:proofErr w:type="gramStart"/>
      <w:r w:rsidRPr="00976DEA">
        <w:rPr>
          <w:rFonts w:eastAsia="Times New Roman"/>
          <w:b/>
        </w:rPr>
        <w:t>000 ,</w:t>
      </w:r>
      <w:proofErr w:type="gramEnd"/>
      <w:r w:rsidRPr="00976DEA">
        <w:rPr>
          <w:rFonts w:eastAsia="Times New Roman"/>
          <w:b/>
        </w:rPr>
        <w:t>-</w:t>
      </w:r>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Stima</w:t>
      </w:r>
      <w:proofErr w:type="spellEnd"/>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EUR 6.</w:t>
      </w:r>
      <w:proofErr w:type="gramStart"/>
      <w:r w:rsidRPr="00976DEA">
        <w:rPr>
          <w:rFonts w:eastAsia="Times New Roman"/>
        </w:rPr>
        <w:t>000 ,</w:t>
      </w:r>
      <w:proofErr w:type="gramEnd"/>
      <w:r w:rsidRPr="00976DEA">
        <w:rPr>
          <w:rFonts w:eastAsia="Times New Roman"/>
        </w:rPr>
        <w:t>- a 9.000 ,-</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USD 7.</w:t>
      </w:r>
      <w:proofErr w:type="gramStart"/>
      <w:r w:rsidRPr="00976DEA">
        <w:rPr>
          <w:rFonts w:eastAsia="Times New Roman"/>
        </w:rPr>
        <w:t>300 ,</w:t>
      </w:r>
      <w:proofErr w:type="gramEnd"/>
      <w:r w:rsidRPr="00976DEA">
        <w:rPr>
          <w:rFonts w:eastAsia="Times New Roman"/>
        </w:rPr>
        <w:t>- a 11.000 ,-</w:t>
      </w:r>
    </w:p>
    <w:p w:rsidR="00976DEA" w:rsidRPr="00976DEA" w:rsidRDefault="00976DEA" w:rsidP="00976DEA">
      <w:pPr>
        <w:spacing w:after="0" w:line="240" w:lineRule="auto"/>
        <w:rPr>
          <w:rFonts w:eastAsia="Times New Roman"/>
        </w:rPr>
      </w:pPr>
      <w:r w:rsidRPr="00976DEA">
        <w:rPr>
          <w:rFonts w:eastAsia="Times New Roman"/>
        </w:rPr>
        <w:t xml:space="preserve">Hotline </w:t>
      </w:r>
    </w:p>
    <w:p w:rsidR="00976DEA" w:rsidRPr="00976DEA" w:rsidRDefault="00976DEA" w:rsidP="00976DEA">
      <w:pPr>
        <w:spacing w:after="0" w:line="240" w:lineRule="auto"/>
        <w:rPr>
          <w:rFonts w:eastAsia="Times New Roman"/>
        </w:rPr>
      </w:pPr>
      <w:r w:rsidRPr="00976DEA">
        <w:rPr>
          <w:rFonts w:eastAsia="Times New Roman"/>
        </w:rPr>
        <w:t>+43 1 515 60 200</w:t>
      </w:r>
    </w:p>
    <w:p w:rsidR="00976DEA" w:rsidRPr="00976DEA" w:rsidRDefault="00976DEA" w:rsidP="00976DEA">
      <w:pPr>
        <w:spacing w:before="100" w:beforeAutospacing="1" w:after="100" w:afterAutospacing="1" w:line="240" w:lineRule="auto"/>
        <w:outlineLvl w:val="3"/>
        <w:rPr>
          <w:rFonts w:eastAsia="Times New Roman"/>
          <w:b/>
        </w:rPr>
      </w:pPr>
      <w:r w:rsidRPr="00976DEA">
        <w:rPr>
          <w:rFonts w:eastAsia="Times New Roman"/>
          <w:b/>
        </w:rPr>
        <w:t>DETTAGLI ASTA</w:t>
      </w:r>
    </w:p>
    <w:p w:rsidR="00976DEA" w:rsidRPr="00976DEA" w:rsidRDefault="002034FE" w:rsidP="00976DEA">
      <w:pPr>
        <w:spacing w:before="100" w:beforeAutospacing="1" w:after="240" w:line="240" w:lineRule="auto"/>
        <w:rPr>
          <w:rFonts w:eastAsia="Times New Roman"/>
        </w:rPr>
      </w:pPr>
      <w:hyperlink r:id="rId16" w:history="1">
        <w:r w:rsidR="00976DEA" w:rsidRPr="00976DEA">
          <w:rPr>
            <w:rFonts w:eastAsia="Times New Roman"/>
            <w:b/>
            <w:color w:val="0000FF"/>
            <w:u w:val="single"/>
          </w:rPr>
          <w:t xml:space="preserve">Arte </w:t>
        </w:r>
        <w:proofErr w:type="spellStart"/>
        <w:r w:rsidR="00976DEA" w:rsidRPr="00976DEA">
          <w:rPr>
            <w:rFonts w:eastAsia="Times New Roman"/>
            <w:b/>
            <w:color w:val="0000FF"/>
            <w:u w:val="single"/>
          </w:rPr>
          <w:t>asiatica</w:t>
        </w:r>
        <w:proofErr w:type="spellEnd"/>
      </w:hyperlink>
      <w:r w:rsidR="00976DEA" w:rsidRPr="00976DEA">
        <w:rPr>
          <w:rFonts w:eastAsia="Times New Roman"/>
          <w:b/>
        </w:rPr>
        <w:t xml:space="preserve"> </w:t>
      </w:r>
      <w:r w:rsidR="00976DEA" w:rsidRPr="00976DEA">
        <w:rPr>
          <w:rFonts w:eastAsia="Times New Roman"/>
        </w:rPr>
        <w:br/>
      </w:r>
      <w:r w:rsidR="00976DEA" w:rsidRPr="00976DEA">
        <w:rPr>
          <w:rFonts w:eastAsia="Times New Roman"/>
          <w:b/>
        </w:rPr>
        <w:t>Data:</w:t>
      </w:r>
      <w:r w:rsidR="00976DEA" w:rsidRPr="00976DEA">
        <w:rPr>
          <w:rFonts w:eastAsia="Times New Roman"/>
        </w:rPr>
        <w:t xml:space="preserve"> 18.06.2015, 16:00 </w:t>
      </w:r>
      <w:r w:rsidR="00976DEA" w:rsidRPr="00976DEA">
        <w:rPr>
          <w:rFonts w:eastAsia="Times New Roman"/>
        </w:rPr>
        <w:br/>
      </w:r>
      <w:proofErr w:type="spellStart"/>
      <w:r w:rsidR="00976DEA" w:rsidRPr="00976DEA">
        <w:rPr>
          <w:rFonts w:eastAsia="Times New Roman"/>
          <w:b/>
        </w:rPr>
        <w:t>Luogo</w:t>
      </w:r>
      <w:proofErr w:type="spellEnd"/>
      <w:r w:rsidR="00976DEA" w:rsidRPr="00976DEA">
        <w:rPr>
          <w:rFonts w:eastAsia="Times New Roman"/>
          <w:b/>
        </w:rPr>
        <w:t xml:space="preserve"> </w:t>
      </w:r>
      <w:proofErr w:type="spellStart"/>
      <w:r w:rsidR="00976DEA" w:rsidRPr="00976DEA">
        <w:rPr>
          <w:rFonts w:eastAsia="Times New Roman"/>
          <w:b/>
        </w:rPr>
        <w:t>dell'asta</w:t>
      </w:r>
      <w:proofErr w:type="spellEnd"/>
      <w:r w:rsidR="00976DEA" w:rsidRPr="00976DEA">
        <w:rPr>
          <w:rFonts w:eastAsia="Times New Roman"/>
          <w:b/>
        </w:rPr>
        <w:t>:</w:t>
      </w:r>
      <w:r w:rsidR="00976DEA" w:rsidRPr="00976DEA">
        <w:rPr>
          <w:rFonts w:eastAsia="Times New Roman"/>
        </w:rPr>
        <w:t xml:space="preserve"> </w:t>
      </w:r>
      <w:hyperlink r:id="rId17" w:history="1">
        <w:proofErr w:type="spellStart"/>
        <w:r w:rsidR="00976DEA" w:rsidRPr="00976DEA">
          <w:rPr>
            <w:rFonts w:eastAsia="Times New Roman"/>
            <w:color w:val="0000FF"/>
            <w:u w:val="single"/>
          </w:rPr>
          <w:t>Palais</w:t>
        </w:r>
        <w:proofErr w:type="spellEnd"/>
        <w:r w:rsidR="00976DEA" w:rsidRPr="00976DEA">
          <w:rPr>
            <w:rFonts w:eastAsia="Times New Roman"/>
            <w:color w:val="0000FF"/>
            <w:u w:val="single"/>
          </w:rPr>
          <w:t xml:space="preserve"> </w:t>
        </w:r>
        <w:proofErr w:type="spellStart"/>
        <w:r w:rsidR="00976DEA" w:rsidRPr="00976DEA">
          <w:rPr>
            <w:rFonts w:eastAsia="Times New Roman"/>
            <w:color w:val="0000FF"/>
            <w:u w:val="single"/>
          </w:rPr>
          <w:t>Dorotheum</w:t>
        </w:r>
        <w:proofErr w:type="spellEnd"/>
        <w:r w:rsidR="00976DEA" w:rsidRPr="00976DEA">
          <w:rPr>
            <w:rFonts w:eastAsia="Times New Roman"/>
            <w:color w:val="0000FF"/>
            <w:u w:val="single"/>
          </w:rPr>
          <w:t xml:space="preserve"> Vienna</w:t>
        </w:r>
      </w:hyperlink>
      <w:r w:rsidR="00976DEA" w:rsidRPr="00976DEA">
        <w:rPr>
          <w:rFonts w:eastAsia="Times New Roman"/>
        </w:rPr>
        <w:br/>
      </w:r>
      <w:proofErr w:type="spellStart"/>
      <w:r w:rsidR="00976DEA" w:rsidRPr="00976DEA">
        <w:rPr>
          <w:rFonts w:eastAsia="Times New Roman"/>
          <w:b/>
        </w:rPr>
        <w:t>Esposizione</w:t>
      </w:r>
      <w:proofErr w:type="spellEnd"/>
      <w:r w:rsidR="00976DEA" w:rsidRPr="00976DEA">
        <w:rPr>
          <w:rFonts w:eastAsia="Times New Roman"/>
          <w:b/>
        </w:rPr>
        <w:t xml:space="preserve">: </w:t>
      </w:r>
      <w:r w:rsidR="00976DEA" w:rsidRPr="00976DEA">
        <w:rPr>
          <w:rFonts w:eastAsia="Times New Roman"/>
        </w:rPr>
        <w:t>12.06. - 18.06.2015</w:t>
      </w:r>
    </w:p>
    <w:p w:rsidR="00976DEA" w:rsidRPr="00976DEA" w:rsidRDefault="00976DEA" w:rsidP="00976DEA">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76DEA" w:rsidRDefault="00976DEA"/>
    <w:sectPr w:rsidR="00976DE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EA"/>
    <w:rsid w:val="00000D95"/>
    <w:rsid w:val="00001276"/>
    <w:rsid w:val="0000162B"/>
    <w:rsid w:val="00001C7F"/>
    <w:rsid w:val="00002035"/>
    <w:rsid w:val="000027FF"/>
    <w:rsid w:val="000033C9"/>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3941"/>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2F8"/>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0230"/>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27551"/>
    <w:rsid w:val="0013010C"/>
    <w:rsid w:val="00130887"/>
    <w:rsid w:val="00130EBC"/>
    <w:rsid w:val="00131041"/>
    <w:rsid w:val="001317AF"/>
    <w:rsid w:val="00132363"/>
    <w:rsid w:val="00132AD9"/>
    <w:rsid w:val="00133449"/>
    <w:rsid w:val="00133AAD"/>
    <w:rsid w:val="00133B37"/>
    <w:rsid w:val="0013540D"/>
    <w:rsid w:val="0013584C"/>
    <w:rsid w:val="00135862"/>
    <w:rsid w:val="00137444"/>
    <w:rsid w:val="00137BE0"/>
    <w:rsid w:val="00140399"/>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6D1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61EC"/>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54B6"/>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34FE"/>
    <w:rsid w:val="00204A2E"/>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0C45"/>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320E"/>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33B4"/>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413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4B54"/>
    <w:rsid w:val="003A50BC"/>
    <w:rsid w:val="003A55AF"/>
    <w:rsid w:val="003A7AEC"/>
    <w:rsid w:val="003B0283"/>
    <w:rsid w:val="003B11B7"/>
    <w:rsid w:val="003B1BBA"/>
    <w:rsid w:val="003B2962"/>
    <w:rsid w:val="003B2EA8"/>
    <w:rsid w:val="003B6298"/>
    <w:rsid w:val="003B63AA"/>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9CA"/>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5D16"/>
    <w:rsid w:val="00466190"/>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24FB"/>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477"/>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196"/>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B4B"/>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2D61"/>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0D89"/>
    <w:rsid w:val="007116AD"/>
    <w:rsid w:val="007116E7"/>
    <w:rsid w:val="00712BB4"/>
    <w:rsid w:val="00712E6F"/>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0E4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BB8"/>
    <w:rsid w:val="00786E17"/>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E5764"/>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2C9"/>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1D88"/>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3FE"/>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13D3"/>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6DEA"/>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1C6"/>
    <w:rsid w:val="00995647"/>
    <w:rsid w:val="0099638E"/>
    <w:rsid w:val="009A0091"/>
    <w:rsid w:val="009A0C7D"/>
    <w:rsid w:val="009A0C96"/>
    <w:rsid w:val="009A165A"/>
    <w:rsid w:val="009A47E8"/>
    <w:rsid w:val="009A4DCE"/>
    <w:rsid w:val="009A59D9"/>
    <w:rsid w:val="009A656A"/>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3651"/>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6DF3"/>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4805"/>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2EF3"/>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1D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2F5"/>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1B16"/>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2722"/>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0B31"/>
    <w:rsid w:val="00F31B93"/>
    <w:rsid w:val="00F322A6"/>
    <w:rsid w:val="00F344EF"/>
    <w:rsid w:val="00F379D0"/>
    <w:rsid w:val="00F40CC6"/>
    <w:rsid w:val="00F41713"/>
    <w:rsid w:val="00F41C0A"/>
    <w:rsid w:val="00F42F0E"/>
    <w:rsid w:val="00F436D7"/>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5A0D"/>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341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8A6D"/>
  <w15:chartTrackingRefBased/>
  <w15:docId w15:val="{CA97D642-725D-4D08-890B-3BDDD3C0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976DEA"/>
    <w:pPr>
      <w:spacing w:before="100" w:beforeAutospacing="1" w:after="100" w:afterAutospacing="1" w:line="240" w:lineRule="auto"/>
      <w:outlineLvl w:val="0"/>
    </w:pPr>
    <w:rPr>
      <w:rFonts w:eastAsia="Times New Roman"/>
      <w:b/>
      <w:kern w:val="36"/>
      <w:sz w:val="48"/>
      <w:szCs w:val="48"/>
    </w:rPr>
  </w:style>
  <w:style w:type="paragraph" w:styleId="Heading4">
    <w:name w:val="heading 4"/>
    <w:basedOn w:val="Normal"/>
    <w:link w:val="Heading4Char"/>
    <w:uiPriority w:val="9"/>
    <w:qFormat/>
    <w:rsid w:val="00976DEA"/>
    <w:pPr>
      <w:spacing w:before="100" w:beforeAutospacing="1" w:after="100" w:afterAutospacing="1" w:line="240" w:lineRule="auto"/>
      <w:outlineLvl w:val="3"/>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976DEA"/>
    <w:rPr>
      <w:rFonts w:eastAsia="Times New Roman"/>
      <w:b/>
      <w:kern w:val="36"/>
      <w:sz w:val="48"/>
      <w:szCs w:val="48"/>
    </w:rPr>
  </w:style>
  <w:style w:type="character" w:customStyle="1" w:styleId="Heading4Char">
    <w:name w:val="Heading 4 Char"/>
    <w:basedOn w:val="DefaultParagraphFont"/>
    <w:link w:val="Heading4"/>
    <w:uiPriority w:val="9"/>
    <w:rsid w:val="00976DEA"/>
    <w:rPr>
      <w:rFonts w:eastAsia="Times New Roman"/>
      <w:b/>
    </w:rPr>
  </w:style>
  <w:style w:type="character" w:styleId="Hyperlink">
    <w:name w:val="Hyperlink"/>
    <w:basedOn w:val="DefaultParagraphFont"/>
    <w:uiPriority w:val="99"/>
    <w:semiHidden/>
    <w:unhideWhenUsed/>
    <w:rsid w:val="00976DEA"/>
    <w:rPr>
      <w:color w:val="0000FF"/>
      <w:u w:val="single"/>
    </w:rPr>
  </w:style>
  <w:style w:type="paragraph" w:styleId="NormalWeb">
    <w:name w:val="Normal (Web)"/>
    <w:basedOn w:val="Normal"/>
    <w:uiPriority w:val="99"/>
    <w:semiHidden/>
    <w:unhideWhenUsed/>
    <w:rsid w:val="00976DEA"/>
    <w:pPr>
      <w:spacing w:before="100" w:beforeAutospacing="1" w:after="100" w:afterAutospacing="1" w:line="240" w:lineRule="auto"/>
    </w:pPr>
    <w:rPr>
      <w:rFonts w:eastAsia="Times New Roman"/>
      <w:bCs/>
    </w:rPr>
  </w:style>
  <w:style w:type="character" w:customStyle="1" w:styleId="anhang">
    <w:name w:val="anhang"/>
    <w:basedOn w:val="DefaultParagraphFont"/>
    <w:rsid w:val="00976DEA"/>
  </w:style>
  <w:style w:type="character" w:customStyle="1" w:styleId="price-currency">
    <w:name w:val="price-currency"/>
    <w:basedOn w:val="DefaultParagraphFont"/>
    <w:rsid w:val="00976DEA"/>
  </w:style>
  <w:style w:type="character" w:customStyle="1" w:styleId="lot-detail--hotline--label">
    <w:name w:val="lot-detail--hotline--label"/>
    <w:basedOn w:val="DefaultParagraphFont"/>
    <w:rsid w:val="00976DEA"/>
  </w:style>
  <w:style w:type="character" w:styleId="Strong">
    <w:name w:val="Strong"/>
    <w:basedOn w:val="DefaultParagraphFont"/>
    <w:qFormat/>
    <w:rsid w:val="00976DEA"/>
    <w:rPr>
      <w:b/>
      <w:bCs/>
    </w:rPr>
  </w:style>
  <w:style w:type="paragraph" w:styleId="ListParagraph">
    <w:name w:val="List Paragraph"/>
    <w:basedOn w:val="Normal"/>
    <w:uiPriority w:val="34"/>
    <w:qFormat/>
    <w:rsid w:val="00976DEA"/>
    <w:pPr>
      <w:ind w:left="720"/>
      <w:contextualSpacing/>
    </w:pPr>
  </w:style>
  <w:style w:type="character" w:customStyle="1" w:styleId="shorttext">
    <w:name w:val="short_text"/>
    <w:basedOn w:val="DefaultParagraphFont"/>
    <w:rsid w:val="0071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66726">
      <w:bodyDiv w:val="1"/>
      <w:marLeft w:val="0"/>
      <w:marRight w:val="0"/>
      <w:marTop w:val="0"/>
      <w:marBottom w:val="0"/>
      <w:divBdr>
        <w:top w:val="none" w:sz="0" w:space="0" w:color="auto"/>
        <w:left w:val="none" w:sz="0" w:space="0" w:color="auto"/>
        <w:bottom w:val="none" w:sz="0" w:space="0" w:color="auto"/>
        <w:right w:val="none" w:sz="0" w:space="0" w:color="auto"/>
      </w:divBdr>
      <w:divsChild>
        <w:div w:id="1829906542">
          <w:marLeft w:val="0"/>
          <w:marRight w:val="0"/>
          <w:marTop w:val="0"/>
          <w:marBottom w:val="0"/>
          <w:divBdr>
            <w:top w:val="none" w:sz="0" w:space="0" w:color="auto"/>
            <w:left w:val="none" w:sz="0" w:space="0" w:color="auto"/>
            <w:bottom w:val="none" w:sz="0" w:space="0" w:color="auto"/>
            <w:right w:val="none" w:sz="0" w:space="0" w:color="auto"/>
          </w:divBdr>
          <w:divsChild>
            <w:div w:id="594552904">
              <w:marLeft w:val="0"/>
              <w:marRight w:val="0"/>
              <w:marTop w:val="0"/>
              <w:marBottom w:val="0"/>
              <w:divBdr>
                <w:top w:val="none" w:sz="0" w:space="0" w:color="auto"/>
                <w:left w:val="none" w:sz="0" w:space="0" w:color="auto"/>
                <w:bottom w:val="none" w:sz="0" w:space="0" w:color="auto"/>
                <w:right w:val="none" w:sz="0" w:space="0" w:color="auto"/>
              </w:divBdr>
              <w:divsChild>
                <w:div w:id="2107846393">
                  <w:marLeft w:val="0"/>
                  <w:marRight w:val="0"/>
                  <w:marTop w:val="0"/>
                  <w:marBottom w:val="0"/>
                  <w:divBdr>
                    <w:top w:val="none" w:sz="0" w:space="0" w:color="auto"/>
                    <w:left w:val="none" w:sz="0" w:space="0" w:color="auto"/>
                    <w:bottom w:val="none" w:sz="0" w:space="0" w:color="auto"/>
                    <w:right w:val="none" w:sz="0" w:space="0" w:color="auto"/>
                  </w:divBdr>
                  <w:divsChild>
                    <w:div w:id="380784932">
                      <w:marLeft w:val="0"/>
                      <w:marRight w:val="0"/>
                      <w:marTop w:val="0"/>
                      <w:marBottom w:val="0"/>
                      <w:divBdr>
                        <w:top w:val="none" w:sz="0" w:space="0" w:color="auto"/>
                        <w:left w:val="none" w:sz="0" w:space="0" w:color="auto"/>
                        <w:bottom w:val="none" w:sz="0" w:space="0" w:color="auto"/>
                        <w:right w:val="none" w:sz="0" w:space="0" w:color="auto"/>
                      </w:divBdr>
                      <w:divsChild>
                        <w:div w:id="6374198">
                          <w:marLeft w:val="0"/>
                          <w:marRight w:val="0"/>
                          <w:marTop w:val="0"/>
                          <w:marBottom w:val="0"/>
                          <w:divBdr>
                            <w:top w:val="none" w:sz="0" w:space="0" w:color="auto"/>
                            <w:left w:val="none" w:sz="0" w:space="0" w:color="auto"/>
                            <w:bottom w:val="none" w:sz="0" w:space="0" w:color="auto"/>
                            <w:right w:val="none" w:sz="0" w:space="0" w:color="auto"/>
                          </w:divBdr>
                        </w:div>
                      </w:divsChild>
                    </w:div>
                    <w:div w:id="2009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99">
              <w:marLeft w:val="0"/>
              <w:marRight w:val="0"/>
              <w:marTop w:val="0"/>
              <w:marBottom w:val="0"/>
              <w:divBdr>
                <w:top w:val="none" w:sz="0" w:space="0" w:color="auto"/>
                <w:left w:val="none" w:sz="0" w:space="0" w:color="auto"/>
                <w:bottom w:val="none" w:sz="0" w:space="0" w:color="auto"/>
                <w:right w:val="none" w:sz="0" w:space="0" w:color="auto"/>
              </w:divBdr>
              <w:divsChild>
                <w:div w:id="771435489">
                  <w:marLeft w:val="0"/>
                  <w:marRight w:val="0"/>
                  <w:marTop w:val="0"/>
                  <w:marBottom w:val="0"/>
                  <w:divBdr>
                    <w:top w:val="none" w:sz="0" w:space="0" w:color="auto"/>
                    <w:left w:val="none" w:sz="0" w:space="0" w:color="auto"/>
                    <w:bottom w:val="none" w:sz="0" w:space="0" w:color="auto"/>
                    <w:right w:val="none" w:sz="0" w:space="0" w:color="auto"/>
                  </w:divBdr>
                  <w:divsChild>
                    <w:div w:id="1743285963">
                      <w:marLeft w:val="0"/>
                      <w:marRight w:val="0"/>
                      <w:marTop w:val="0"/>
                      <w:marBottom w:val="0"/>
                      <w:divBdr>
                        <w:top w:val="none" w:sz="0" w:space="0" w:color="auto"/>
                        <w:left w:val="none" w:sz="0" w:space="0" w:color="auto"/>
                        <w:bottom w:val="none" w:sz="0" w:space="0" w:color="auto"/>
                        <w:right w:val="none" w:sz="0" w:space="0" w:color="auto"/>
                      </w:divBdr>
                    </w:div>
                    <w:div w:id="202445071">
                      <w:marLeft w:val="0"/>
                      <w:marRight w:val="0"/>
                      <w:marTop w:val="0"/>
                      <w:marBottom w:val="0"/>
                      <w:divBdr>
                        <w:top w:val="none" w:sz="0" w:space="0" w:color="auto"/>
                        <w:left w:val="none" w:sz="0" w:space="0" w:color="auto"/>
                        <w:bottom w:val="none" w:sz="0" w:space="0" w:color="auto"/>
                        <w:right w:val="none" w:sz="0" w:space="0" w:color="auto"/>
                      </w:divBdr>
                    </w:div>
                    <w:div w:id="1595019729">
                      <w:marLeft w:val="0"/>
                      <w:marRight w:val="0"/>
                      <w:marTop w:val="0"/>
                      <w:marBottom w:val="0"/>
                      <w:divBdr>
                        <w:top w:val="none" w:sz="0" w:space="0" w:color="auto"/>
                        <w:left w:val="none" w:sz="0" w:space="0" w:color="auto"/>
                        <w:bottom w:val="none" w:sz="0" w:space="0" w:color="auto"/>
                        <w:right w:val="none" w:sz="0" w:space="0" w:color="auto"/>
                      </w:divBdr>
                      <w:divsChild>
                        <w:div w:id="529681186">
                          <w:marLeft w:val="0"/>
                          <w:marRight w:val="0"/>
                          <w:marTop w:val="0"/>
                          <w:marBottom w:val="0"/>
                          <w:divBdr>
                            <w:top w:val="none" w:sz="0" w:space="0" w:color="auto"/>
                            <w:left w:val="none" w:sz="0" w:space="0" w:color="auto"/>
                            <w:bottom w:val="none" w:sz="0" w:space="0" w:color="auto"/>
                            <w:right w:val="none" w:sz="0" w:space="0" w:color="auto"/>
                          </w:divBdr>
                        </w:div>
                        <w:div w:id="1835220379">
                          <w:marLeft w:val="0"/>
                          <w:marRight w:val="0"/>
                          <w:marTop w:val="0"/>
                          <w:marBottom w:val="0"/>
                          <w:divBdr>
                            <w:top w:val="none" w:sz="0" w:space="0" w:color="auto"/>
                            <w:left w:val="none" w:sz="0" w:space="0" w:color="auto"/>
                            <w:bottom w:val="none" w:sz="0" w:space="0" w:color="auto"/>
                            <w:right w:val="none" w:sz="0" w:space="0" w:color="auto"/>
                          </w:divBdr>
                        </w:div>
                        <w:div w:id="2020036353">
                          <w:marLeft w:val="0"/>
                          <w:marRight w:val="0"/>
                          <w:marTop w:val="0"/>
                          <w:marBottom w:val="0"/>
                          <w:divBdr>
                            <w:top w:val="none" w:sz="0" w:space="0" w:color="auto"/>
                            <w:left w:val="none" w:sz="0" w:space="0" w:color="auto"/>
                            <w:bottom w:val="none" w:sz="0" w:space="0" w:color="auto"/>
                            <w:right w:val="none" w:sz="0" w:space="0" w:color="auto"/>
                          </w:divBdr>
                        </w:div>
                        <w:div w:id="1793479103">
                          <w:marLeft w:val="0"/>
                          <w:marRight w:val="0"/>
                          <w:marTop w:val="0"/>
                          <w:marBottom w:val="0"/>
                          <w:divBdr>
                            <w:top w:val="none" w:sz="0" w:space="0" w:color="auto"/>
                            <w:left w:val="none" w:sz="0" w:space="0" w:color="auto"/>
                            <w:bottom w:val="none" w:sz="0" w:space="0" w:color="auto"/>
                            <w:right w:val="none" w:sz="0" w:space="0" w:color="auto"/>
                          </w:divBdr>
                        </w:div>
                        <w:div w:id="588733835">
                          <w:marLeft w:val="0"/>
                          <w:marRight w:val="0"/>
                          <w:marTop w:val="0"/>
                          <w:marBottom w:val="0"/>
                          <w:divBdr>
                            <w:top w:val="none" w:sz="0" w:space="0" w:color="auto"/>
                            <w:left w:val="none" w:sz="0" w:space="0" w:color="auto"/>
                            <w:bottom w:val="none" w:sz="0" w:space="0" w:color="auto"/>
                            <w:right w:val="none" w:sz="0" w:space="0" w:color="auto"/>
                          </w:divBdr>
                        </w:div>
                        <w:div w:id="1279878090">
                          <w:marLeft w:val="0"/>
                          <w:marRight w:val="0"/>
                          <w:marTop w:val="0"/>
                          <w:marBottom w:val="0"/>
                          <w:divBdr>
                            <w:top w:val="none" w:sz="0" w:space="0" w:color="auto"/>
                            <w:left w:val="none" w:sz="0" w:space="0" w:color="auto"/>
                            <w:bottom w:val="none" w:sz="0" w:space="0" w:color="auto"/>
                            <w:right w:val="none" w:sz="0" w:space="0" w:color="auto"/>
                          </w:divBdr>
                        </w:div>
                      </w:divsChild>
                    </w:div>
                    <w:div w:id="1977178628">
                      <w:marLeft w:val="0"/>
                      <w:marRight w:val="0"/>
                      <w:marTop w:val="0"/>
                      <w:marBottom w:val="0"/>
                      <w:divBdr>
                        <w:top w:val="none" w:sz="0" w:space="0" w:color="auto"/>
                        <w:left w:val="none" w:sz="0" w:space="0" w:color="auto"/>
                        <w:bottom w:val="none" w:sz="0" w:space="0" w:color="auto"/>
                        <w:right w:val="none" w:sz="0" w:space="0" w:color="auto"/>
                      </w:divBdr>
                      <w:divsChild>
                        <w:div w:id="876741445">
                          <w:marLeft w:val="0"/>
                          <w:marRight w:val="0"/>
                          <w:marTop w:val="0"/>
                          <w:marBottom w:val="0"/>
                          <w:divBdr>
                            <w:top w:val="none" w:sz="0" w:space="0" w:color="auto"/>
                            <w:left w:val="none" w:sz="0" w:space="0" w:color="auto"/>
                            <w:bottom w:val="none" w:sz="0" w:space="0" w:color="auto"/>
                            <w:right w:val="none" w:sz="0" w:space="0" w:color="auto"/>
                          </w:divBdr>
                          <w:divsChild>
                            <w:div w:id="882449908">
                              <w:marLeft w:val="0"/>
                              <w:marRight w:val="0"/>
                              <w:marTop w:val="0"/>
                              <w:marBottom w:val="0"/>
                              <w:divBdr>
                                <w:top w:val="none" w:sz="0" w:space="0" w:color="auto"/>
                                <w:left w:val="none" w:sz="0" w:space="0" w:color="auto"/>
                                <w:bottom w:val="none" w:sz="0" w:space="0" w:color="auto"/>
                                <w:right w:val="none" w:sz="0" w:space="0" w:color="auto"/>
                              </w:divBdr>
                              <w:divsChild>
                                <w:div w:id="344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242">
                      <w:marLeft w:val="0"/>
                      <w:marRight w:val="0"/>
                      <w:marTop w:val="0"/>
                      <w:marBottom w:val="0"/>
                      <w:divBdr>
                        <w:top w:val="none" w:sz="0" w:space="0" w:color="auto"/>
                        <w:left w:val="none" w:sz="0" w:space="0" w:color="auto"/>
                        <w:bottom w:val="none" w:sz="0" w:space="0" w:color="auto"/>
                        <w:right w:val="none" w:sz="0" w:space="0" w:color="auto"/>
                      </w:divBdr>
                      <w:divsChild>
                        <w:div w:id="1640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3" Type="http://schemas.openxmlformats.org/officeDocument/2006/relationships/hyperlink" Target="http://www.harvardartmuseums.org/collections/object/204580?position=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asia.si.edu/collections/edan/object.cfm?q=fsg_S1987.626" TargetMode="External"/><Relationship Id="rId17" Type="http://schemas.openxmlformats.org/officeDocument/2006/relationships/hyperlink" Target="https://www.dorotheum.com/it/apropositodi/succursali/vienna-palais-dorotheum.html" TargetMode="External"/><Relationship Id="rId2" Type="http://schemas.openxmlformats.org/officeDocument/2006/relationships/styles" Target="styles.xml"/><Relationship Id="rId16" Type="http://schemas.openxmlformats.org/officeDocument/2006/relationships/hyperlink" Target="https://www.dorotheum.com/it/aste/prossime-aste/kataloge/list-lots/auktion/11207-arte-asiatica.html" TargetMode="External"/><Relationship Id="rId1" Type="http://schemas.openxmlformats.org/officeDocument/2006/relationships/numbering" Target="numbering.xml"/><Relationship Id="rId6"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 Id="rId11" Type="http://schemas.openxmlformats.org/officeDocument/2006/relationships/hyperlink" Target="http://www.asia.si.edu/collections/edan/object.cfm?q=fsg_S1987.842" TargetMode="External"/><Relationship Id="rId5" Type="http://schemas.openxmlformats.org/officeDocument/2006/relationships/image" Target="media/image1.jpeg"/><Relationship Id="rId15" Type="http://schemas.openxmlformats.org/officeDocument/2006/relationships/hyperlink" Target="mailto:angelika.borchert@dorotheum.at" TargetMode="External"/><Relationship Id="rId10" Type="http://schemas.openxmlformats.org/officeDocument/2006/relationships/hyperlink" Target="https://www.dorotheum.com/it/aste/prossime-aste/kataloge/list-lots-detail/auktion/11207-arte-asiatica/lotID/32/lot/1890485-seltenes-huf-oder-rohrenformiges-ornament-aus-gruner-jade.html?currentPage=1&amp;img=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archcollection.asianart.org/view/objects/asitem/nid/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1742</Words>
  <Characters>9935</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rare and well-carved green jade ‘hoof-shaped‘ tubular ornament.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2018-01-30T20:29:00Z</dcterms:created>
  <dcterms:modified xsi:type="dcterms:W3CDTF">2018-01-30T20:29:00Z</dcterms:modified>
</cp:coreProperties>
</file>