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 square cylinder-One Tier-Jade- early Liangzhu Period, ca. 3200 BCE</w:t>
      </w:r>
    </w:p>
    <w:p>
      <w:pPr>
        <w:pStyle w:val="Normal"/>
        <w:rPr/>
      </w:pPr>
      <w:r>
        <w:rPr/>
        <w:drawing>
          <wp:inline distT="0" distB="0" distL="0" distR="0">
            <wp:extent cx="4185920" cy="44977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4185920" cy="4497705"/>
                    </a:xfrm>
                    <a:prstGeom prst="rect">
                      <a:avLst/>
                    </a:prstGeom>
                  </pic:spPr>
                </pic:pic>
              </a:graphicData>
            </a:graphic>
          </wp:inline>
        </w:drawing>
      </w:r>
    </w:p>
    <w:p>
      <w:pPr>
        <w:pStyle w:val="Normal"/>
        <w:rPr/>
      </w:pPr>
      <w:r>
        <w:rPr/>
        <w:drawing>
          <wp:inline distT="0" distB="0" distL="0" distR="0">
            <wp:extent cx="5000625" cy="85534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5000625" cy="8553450"/>
                    </a:xfrm>
                    <a:prstGeom prst="rect">
                      <a:avLst/>
                    </a:prstGeom>
                  </pic:spPr>
                </pic:pic>
              </a:graphicData>
            </a:graphic>
          </wp:inline>
        </w:drawing>
      </w:r>
    </w:p>
    <w:p>
      <w:pPr>
        <w:pStyle w:val="Normal"/>
        <w:rPr/>
      </w:pPr>
      <w:r>
        <w:rPr/>
        <w:t>Case: 5</w:t>
      </w:r>
    </w:p>
    <w:p>
      <w:pPr>
        <w:pStyle w:val="Normal"/>
        <w:rPr/>
      </w:pPr>
      <w:r>
        <w:rPr/>
        <w:t>Male god of the soil with his symbols of 2  + 2 and in his square form derived from the idea of the square shape of the earth.</w:t>
      </w:r>
    </w:p>
    <w:p>
      <w:pPr>
        <w:pStyle w:val="Normal"/>
        <w:rPr/>
      </w:pPr>
      <w:r>
        <w:rPr/>
        <w:drawing>
          <wp:inline distT="0" distB="0" distL="0" distR="0">
            <wp:extent cx="6875780" cy="64109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6875780" cy="6410960"/>
                    </a:xfrm>
                    <a:prstGeom prst="rect">
                      <a:avLst/>
                    </a:prstGeom>
                  </pic:spPr>
                </pic:pic>
              </a:graphicData>
            </a:graphic>
          </wp:inline>
        </w:drawing>
      </w:r>
    </w:p>
    <w:p>
      <w:pPr>
        <w:pStyle w:val="Normal"/>
        <w:rPr/>
      </w:pPr>
      <w:r>
        <w:rPr/>
        <w:t xml:space="preserve">Cloud motifs in an arrangement of 4-5-4-5-4-5 placed on the alternate opposing sides.  </w:t>
      </w:r>
    </w:p>
    <w:p>
      <w:pPr>
        <w:pStyle w:val="Normal"/>
        <w:rPr/>
      </w:pPr>
      <w:r>
        <w:rPr/>
        <w:t>This numerology is composed of two pairs of two  alternating with five, 2 and 5 being the based on the symbolism of the figures 5 and 2 which are emblazoned on a square, the shape of the earth, which is of the color yellow, the color of the jade used here (See Laufer 1912: 149).</w:t>
      </w:r>
    </w:p>
    <w:p>
      <w:pPr>
        <w:pStyle w:val="Normal"/>
        <w:rPr/>
      </w:pPr>
      <w:r>
        <w:rPr/>
        <w:drawing>
          <wp:inline distT="0" distB="0" distL="0" distR="0">
            <wp:extent cx="981075" cy="9239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9" t="-52" r="-49" b="-52"/>
                    <a:stretch>
                      <a:fillRect/>
                    </a:stretch>
                  </pic:blipFill>
                  <pic:spPr bwMode="auto">
                    <a:xfrm>
                      <a:off x="0" y="0"/>
                      <a:ext cx="981075" cy="923925"/>
                    </a:xfrm>
                    <a:prstGeom prst="rect">
                      <a:avLst/>
                    </a:prstGeom>
                  </pic:spPr>
                </pic:pic>
              </a:graphicData>
            </a:graphic>
          </wp:inline>
        </w:drawing>
      </w:r>
      <w:r>
        <w:rPr>
          <w:rFonts w:eastAsia="Times New Roman"/>
        </w:rPr>
        <w:t xml:space="preserve"> </w:t>
      </w:r>
      <w:r>
        <w:rPr/>
        <w:t xml:space="preserve">Cloud motifs are a sign of heaven and hence would have been an auspicious omen for those who were sacrificed within the Mother Earth </w:t>
      </w:r>
      <w:r>
        <w:rPr>
          <w:i/>
          <w:iCs/>
        </w:rPr>
        <w:t>cong</w:t>
      </w:r>
      <w:r>
        <w:rPr/>
        <w:t>..</w:t>
      </w:r>
    </w:p>
    <w:p>
      <w:pPr>
        <w:pStyle w:val="Normal"/>
        <w:rPr/>
      </w:pPr>
      <w:r>
        <w:rPr/>
      </w:r>
    </w:p>
    <w:p>
      <w:pPr>
        <w:pStyle w:val="Normal"/>
        <w:rPr/>
      </w:pPr>
      <w:r>
        <w:rPr/>
        <w:t xml:space="preserve">The form of the </w:t>
      </w:r>
      <w:r>
        <w:rPr>
          <w:i/>
          <w:iCs/>
        </w:rPr>
        <w:t>cong</w:t>
      </w:r>
      <w:r>
        <w:rPr/>
        <w:t xml:space="preserve"> is preserved in the second hexagram of the </w:t>
      </w:r>
      <w:r>
        <w:rPr>
          <w:i/>
          <w:iCs/>
        </w:rPr>
        <w:t>I-Ching</w:t>
      </w:r>
      <w:r>
        <w:rPr/>
        <w:t xml:space="preserve">, which stands for Earth, which provides a schematic of the </w:t>
      </w:r>
      <w:r>
        <w:rPr>
          <w:i/>
          <w:iCs/>
        </w:rPr>
        <w:t>cong</w:t>
      </w:r>
      <w:r>
        <w:rPr/>
        <w:t xml:space="preserve"> shape.</w:t>
      </w:r>
    </w:p>
    <w:p>
      <w:pPr>
        <w:pStyle w:val="Normal"/>
        <w:rPr/>
      </w:pPr>
      <w:r>
        <w:rPr/>
        <w:drawing>
          <wp:inline distT="0" distB="0" distL="0" distR="0">
            <wp:extent cx="6143625" cy="75533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r>
    </w:p>
    <w:p>
      <w:pPr>
        <w:pStyle w:val="Normal"/>
        <w:rPr/>
      </w:pPr>
      <w:r>
        <w:rPr/>
        <w:drawing>
          <wp:inline distT="0" distB="0" distL="0" distR="0">
            <wp:extent cx="4914900" cy="81153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9" t="-5" r="-9" b="-5"/>
                    <a:stretch>
                      <a:fillRect/>
                    </a:stretch>
                  </pic:blipFill>
                  <pic:spPr bwMode="auto">
                    <a:xfrm>
                      <a:off x="0" y="0"/>
                      <a:ext cx="4914900" cy="8115300"/>
                    </a:xfrm>
                    <a:prstGeom prst="rect">
                      <a:avLst/>
                    </a:prstGeom>
                  </pic:spPr>
                </pic:pic>
              </a:graphicData>
            </a:graphic>
          </wp:inline>
        </w:drawing>
      </w:r>
      <w:r>
        <w:rPr>
          <w:rFonts w:eastAsia="Times New Roman"/>
        </w:rPr>
        <w:t xml:space="preserve">  </w:t>
      </w:r>
      <w:r>
        <w:rPr/>
        <w:drawing>
          <wp:inline distT="0" distB="0" distL="0" distR="0">
            <wp:extent cx="6981825" cy="74771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6" t="-6" r="-6" b="-6"/>
                    <a:stretch>
                      <a:fillRect/>
                    </a:stretch>
                  </pic:blipFill>
                  <pic:spPr bwMode="auto">
                    <a:xfrm>
                      <a:off x="0" y="0"/>
                      <a:ext cx="6981825" cy="7477125"/>
                    </a:xfrm>
                    <a:prstGeom prst="rect">
                      <a:avLst/>
                    </a:prstGeom>
                  </pic:spPr>
                </pic:pic>
              </a:graphicData>
            </a:graphic>
          </wp:inline>
        </w:drawing>
      </w:r>
      <w:r>
        <w:rPr>
          <w:rFonts w:eastAsia="Times New Roman"/>
        </w:rPr>
        <w:t xml:space="preserve"> </w:t>
      </w:r>
      <w:r>
        <w:rPr/>
        <w:drawing>
          <wp:inline distT="0" distB="0" distL="0" distR="0">
            <wp:extent cx="6563995" cy="49403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cylinder-Twot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rPr/>
      </w:pPr>
      <w:r>
        <w:rPr/>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9"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title=""/>
                    <pic:cNvPicPr>
                      <a:picLocks noChangeAspect="1" noChangeArrowheads="1"/>
                    </pic:cNvPicPr>
                  </pic:nvPicPr>
                  <pic:blipFill>
                    <a:blip r:embed="rId10"/>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lang w:val="fr-FR"/>
        </w:rPr>
      </w:pPr>
      <w:r>
        <w:rPr>
          <w:lang w:val="fr-FR"/>
        </w:rPr>
        <w:t>Biot, Jean Baptiste. 1851. Le Tcheou-li: ou, Rites des Tcheou. Paris: Imprimerie nationale, 1851. 3v.</w:t>
      </w:r>
    </w:p>
    <w:p>
      <w:pPr>
        <w:pStyle w:val="Normal"/>
        <w:rPr>
          <w:smallCaps/>
          <w:lang w:val="fr-FR"/>
        </w:rPr>
      </w:pPr>
      <w:r>
        <w:rPr>
          <w:smallCaps/>
          <w:lang w:val="fr-FR"/>
        </w:rPr>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lang w:val="fr-FR"/>
        </w:rPr>
      </w:pPr>
      <w:r>
        <w:rPr>
          <w:rFonts w:cs="Symbol"/>
          <w:smallCaps/>
          <w:lang w:val="fr-FR"/>
        </w:rPr>
      </w:r>
    </w:p>
    <w:p>
      <w:pPr>
        <w:pStyle w:val="Normal"/>
        <w:rPr/>
      </w:pPr>
      <w:r>
        <w:rPr>
          <w:smallCaps/>
          <w:lang w:val="fr-FR"/>
        </w:rPr>
        <w:t>Hayashi,</w:t>
      </w:r>
      <w:r>
        <w:rPr>
          <w:lang w:val="fr-FR"/>
        </w:rPr>
        <w:t xml:space="preserve"> Mineo. </w:t>
      </w:r>
      <w:r>
        <w:rPr/>
        <w:t xml:space="preserve">1990. On the Chinese Neolithic jade Tsung/Cong, </w:t>
      </w:r>
      <w:r>
        <w:rPr>
          <w:i/>
          <w:iCs/>
        </w:rPr>
        <w:t>Artibus Asiae</w:t>
      </w:r>
      <w:r>
        <w:rPr/>
        <w:t>, 50(1/2):5-22.</w:t>
      </w:r>
    </w:p>
    <w:p>
      <w:pPr>
        <w:pStyle w:val="Normal"/>
        <w:rPr>
          <w:smallCaps/>
        </w:rPr>
      </w:pPr>
      <w:r>
        <w:rPr>
          <w:smallCaps/>
        </w:rPr>
      </w:r>
    </w:p>
    <w:p>
      <w:pPr>
        <w:pStyle w:val="Normal"/>
        <w:rPr/>
      </w:pPr>
      <w:r>
        <w:rPr>
          <w:smallCaps/>
        </w:rPr>
        <w:t>Hayashi,</w:t>
      </w:r>
      <w:r>
        <w:rPr/>
        <w:t xml:space="preserve"> Mineo. 1973. </w:t>
      </w:r>
      <w:r>
        <w:rPr>
          <w:i/>
          <w:iCs/>
        </w:rPr>
        <w:t xml:space="preserve">Toyo Gakuho </w:t>
      </w:r>
      <w:r>
        <w:rPr/>
        <w:t>[Journal of the Research Dept. of the Toyo Bunko] 45:1-57.</w:t>
      </w:r>
    </w:p>
    <w:p>
      <w:pPr>
        <w:pStyle w:val="Normal"/>
        <w:rPr>
          <w:smallCaps/>
        </w:rPr>
      </w:pPr>
      <w:r>
        <w:rPr>
          <w:smallCaps/>
        </w:rPr>
      </w:r>
    </w:p>
    <w:p>
      <w:pPr>
        <w:pStyle w:val="Normal"/>
        <w:rPr/>
      </w:pPr>
      <w:r>
        <w:rPr>
          <w:smallCaps/>
        </w:rPr>
        <w:t>Hayashi</w:t>
      </w:r>
      <w:r>
        <w:rPr/>
        <w:t xml:space="preserve">, Minao. </w:t>
      </w:r>
      <w:r>
        <w:rPr/>
        <w:drawing>
          <wp:inline distT="0" distB="0" distL="0" distR="0">
            <wp:extent cx="15875" cy="1587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Chūgoku kogyoku no kenkyū. </w:t>
      </w:r>
      <w:r>
        <w:rPr/>
        <w:drawing>
          <wp:inline distT="0" distB="0" distL="0" distR="0">
            <wp:extent cx="15875" cy="15875"/>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2018-01-13T17:27:00Z</dcterms:created>
  <dc:creator>USER</dc:creator>
  <dc:description/>
  <cp:keywords/>
  <dc:language>en-US</dc:language>
  <cp:lastModifiedBy>murcott</cp:lastModifiedBy>
  <dcterms:modified xsi:type="dcterms:W3CDTF">2018-01-13T17:27:00Z</dcterms:modified>
  <cp:revision>2</cp:revision>
  <dc:subject/>
  <dc:title>Asia-China-Liangzhu-Cong-white</dc:title>
</cp:coreProperties>
</file>