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10.jpeg" ContentType="image/jpeg"/>
  <Override PartName="/word/media/image7.png" ContentType="image/png"/>
  <Override PartName="/word/media/image4.png" ContentType="image/png"/>
  <Override PartName="/word/media/image3.jpeg" ContentType="image/jpeg"/>
  <Override PartName="/word/media/image5.png" ContentType="image/png"/>
  <Override PartName="/word/media/image2.jpeg" ContentType="image/jpe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A000-ME-Syria-Tel Halaf-Fertility Idol-Terracotta--6000-5400 BCE</w:t>
      </w:r>
    </w:p>
    <w:p>
      <w:pPr>
        <w:pStyle w:val="Normal"/>
        <w:rPr/>
      </w:pPr>
      <w:r>
        <w:rPr/>
        <w:drawing>
          <wp:inline distT="0" distB="0" distL="0" distR="0">
            <wp:extent cx="2743200" cy="413893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87015" cy="409003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Case no.: 2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>Syria-Tel Halaf-Fertility Idol-Terracotta--6000-5400 BCE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Display Description: </w:t>
      </w:r>
    </w:p>
    <w:p>
      <w:pPr>
        <w:pStyle w:val="Normal"/>
        <w:rPr/>
      </w:pPr>
      <w:r>
        <w:rPr>
          <w:b/>
          <w:bCs/>
        </w:rPr>
        <w:t>Tell Halaf</w:t>
      </w:r>
      <w:r>
        <w:rPr/>
        <w:t xml:space="preserve"> (</w:t>
      </w:r>
      <w:hyperlink r:id="rId4">
        <w:r>
          <w:rPr>
            <w:rStyle w:val="InternetLink"/>
          </w:rPr>
          <w:t>Arabic</w:t>
        </w:r>
      </w:hyperlink>
      <w:r>
        <w:rPr/>
        <w:t xml:space="preserve">: </w:t>
      </w:r>
      <w:r>
        <w:rPr>
          <w:rtl w:val="true"/>
        </w:rPr>
        <w:t>تل حلف</w:t>
      </w:r>
      <w:r>
        <w:rPr/>
        <w:t>‎</w:t>
      </w:r>
      <w:r>
        <w:rPr/>
        <w:t xml:space="preserve">) is an archaeological site in the </w:t>
      </w:r>
      <w:hyperlink r:id="rId5">
        <w:r>
          <w:rPr>
            <w:rStyle w:val="InternetLink"/>
          </w:rPr>
          <w:t>Al Hasakah</w:t>
        </w:r>
      </w:hyperlink>
      <w:r>
        <w:rPr/>
        <w:t xml:space="preserve"> governorate of northeastern </w:t>
      </w:r>
      <w:hyperlink r:id="rId6">
        <w:r>
          <w:rPr>
            <w:rStyle w:val="InternetLink"/>
          </w:rPr>
          <w:t>Syria</w:t>
        </w:r>
      </w:hyperlink>
      <w:r>
        <w:rPr/>
        <w:t xml:space="preserve">, near the </w:t>
      </w:r>
      <w:hyperlink r:id="rId7">
        <w:r>
          <w:rPr>
            <w:rStyle w:val="InternetLink"/>
          </w:rPr>
          <w:t>Turkish</w:t>
        </w:r>
      </w:hyperlink>
      <w:r>
        <w:rPr/>
        <w:t xml:space="preserve"> border, just opposite </w:t>
      </w:r>
      <w:hyperlink r:id="rId8">
        <w:r>
          <w:rPr>
            <w:rStyle w:val="InternetLink"/>
          </w:rPr>
          <w:t>Ceylanpınar</w:t>
        </w:r>
      </w:hyperlink>
      <w:r>
        <w:rPr/>
        <w:t xml:space="preserve">. It was the first find of a </w:t>
      </w:r>
      <w:hyperlink r:id="rId9">
        <w:r>
          <w:rPr>
            <w:rStyle w:val="InternetLink"/>
          </w:rPr>
          <w:t>Neolithic</w:t>
        </w:r>
      </w:hyperlink>
      <w:r>
        <w:rPr/>
        <w:t xml:space="preserve"> culture, subsequently dubbed the </w:t>
      </w:r>
      <w:hyperlink r:id="rId10">
        <w:r>
          <w:rPr>
            <w:rStyle w:val="InternetLink"/>
          </w:rPr>
          <w:t>Halaf culture</w:t>
        </w:r>
      </w:hyperlink>
      <w:r>
        <w:rPr/>
        <w:t xml:space="preserve">, characterized by glazed pottery painted with geometric and animal designs. The site, which dates to the 6th millennium BCE, was a </w:t>
      </w:r>
      <w:hyperlink r:id="rId11">
        <w:r>
          <w:rPr>
            <w:rStyle w:val="InternetLink"/>
          </w:rPr>
          <w:t>Hittite</w:t>
        </w:r>
      </w:hyperlink>
      <w:r>
        <w:rPr/>
        <w:t xml:space="preserve"> ruling city at first and was later the location of the </w:t>
      </w:r>
      <w:hyperlink r:id="rId12">
        <w:r>
          <w:rPr>
            <w:rStyle w:val="InternetLink"/>
          </w:rPr>
          <w:t>Aramaean</w:t>
        </w:r>
      </w:hyperlink>
      <w:r>
        <w:rPr/>
        <w:t xml:space="preserve"> city-state of </w:t>
      </w:r>
      <w:r>
        <w:rPr>
          <w:b/>
          <w:bCs/>
        </w:rPr>
        <w:t>Guzana</w:t>
      </w:r>
      <w:r>
        <w:rPr/>
        <w:t xml:space="preserve"> or Gozan in the 10th century BCE. By the end of 9th century BCE the city and its surrounding area was incorporated into the </w:t>
      </w:r>
      <w:hyperlink r:id="rId13">
        <w:r>
          <w:rPr>
            <w:rStyle w:val="InternetLink"/>
          </w:rPr>
          <w:t>Assyrian Empire</w:t>
        </w:r>
      </w:hyperlink>
      <w:r>
        <w:rPr/>
        <w:t>.</w:t>
      </w:r>
    </w:p>
    <w:p>
      <w:pPr>
        <w:pStyle w:val="NormalWeb"/>
        <w:rPr/>
      </w:pPr>
      <w:r>
        <w:rPr/>
        <w:t xml:space="preserve">The </w:t>
      </w:r>
      <w:r>
        <w:rPr>
          <w:b/>
          <w:bCs/>
        </w:rPr>
        <w:t>Halaf culture</w:t>
      </w:r>
      <w:r>
        <w:rPr/>
        <w:t xml:space="preserve"> is a </w:t>
      </w:r>
      <w:hyperlink r:id="rId14">
        <w:r>
          <w:rPr>
            <w:rStyle w:val="InternetLink"/>
          </w:rPr>
          <w:t>prehistoric</w:t>
        </w:r>
      </w:hyperlink>
      <w:r>
        <w:rPr/>
        <w:t xml:space="preserve"> period which lasted between about 6100 BCE and 5100 BCE.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"cite_note-mario-1"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[1]</w:t>
      </w:r>
      <w:r>
        <w:rPr>
          <w:rStyle w:val="InternetLink"/>
          <w:vertAlign w:val="superscript"/>
        </w:rPr>
        <w:fldChar w:fldCharType="end"/>
      </w:r>
      <w:r>
        <w:rPr/>
        <w:t xml:space="preserve"> The period is a continuous development out of the earlier </w:t>
      </w:r>
      <w:r>
        <w:fldChar w:fldCharType="begin"/>
      </w:r>
      <w:r>
        <w:rPr>
          <w:rStyle w:val="InternetLink"/>
        </w:rPr>
        <w:instrText> HYPERLINK "https://en.wikipedia.org/wiki/Neolithic" \l "Neolithic_3_.E2.80.93_Pottery_Neolithic_.28PN.29"</w:instrText>
      </w:r>
      <w:r>
        <w:rPr>
          <w:rStyle w:val="InternetLink"/>
        </w:rPr>
        <w:fldChar w:fldCharType="separate"/>
      </w:r>
      <w:r>
        <w:rPr>
          <w:rStyle w:val="InternetLink"/>
        </w:rPr>
        <w:t>Pottery Neolithic</w:t>
      </w:r>
      <w:r>
        <w:rPr>
          <w:rStyle w:val="InternetLink"/>
        </w:rPr>
        <w:fldChar w:fldCharType="end"/>
      </w:r>
      <w:r>
        <w:rPr/>
        <w:t xml:space="preserve"> and is located primarily in south-eastern </w:t>
      </w:r>
      <w:hyperlink r:id="rId15">
        <w:r>
          <w:rPr>
            <w:rStyle w:val="InternetLink"/>
          </w:rPr>
          <w:t>Turkey</w:t>
        </w:r>
      </w:hyperlink>
      <w:r>
        <w:rPr/>
        <w:t xml:space="preserve">, </w:t>
      </w:r>
      <w:hyperlink r:id="rId16">
        <w:r>
          <w:rPr>
            <w:rStyle w:val="InternetLink"/>
          </w:rPr>
          <w:t>Syria</w:t>
        </w:r>
      </w:hyperlink>
      <w:r>
        <w:rPr/>
        <w:t xml:space="preserve">, and northern </w:t>
      </w:r>
      <w:hyperlink r:id="rId17">
        <w:r>
          <w:rPr>
            <w:rStyle w:val="InternetLink"/>
          </w:rPr>
          <w:t>Iraq</w:t>
        </w:r>
      </w:hyperlink>
      <w:r>
        <w:rPr/>
        <w:t xml:space="preserve">, although Halaf-influenced material is found throughout Greater </w:t>
      </w:r>
      <w:hyperlink r:id="rId18">
        <w:r>
          <w:rPr>
            <w:rStyle w:val="InternetLink"/>
          </w:rPr>
          <w:t>Mesopotamia</w:t>
        </w:r>
      </w:hyperlink>
      <w:r>
        <w:rPr/>
        <w:t>.</w:t>
      </w:r>
    </w:p>
    <w:p>
      <w:pPr>
        <w:pStyle w:val="NormalWeb"/>
        <w:rPr>
          <w:vertAlign w:val="superscript"/>
        </w:rPr>
      </w:pPr>
      <w:r>
        <w:rPr/>
        <w:t xml:space="preserve">While the period is named after the site of </w:t>
      </w:r>
      <w:hyperlink r:id="rId19">
        <w:r>
          <w:rPr>
            <w:rStyle w:val="InternetLink"/>
          </w:rPr>
          <w:t>Tell Halaf</w:t>
        </w:r>
      </w:hyperlink>
      <w:r>
        <w:rPr/>
        <w:t xml:space="preserve"> in north </w:t>
      </w:r>
      <w:hyperlink r:id="rId20">
        <w:r>
          <w:rPr>
            <w:rStyle w:val="InternetLink"/>
          </w:rPr>
          <w:t>Syria</w:t>
        </w:r>
      </w:hyperlink>
      <w:r>
        <w:rPr/>
        <w:t xml:space="preserve">, excavated by </w:t>
      </w:r>
      <w:hyperlink r:id="rId21">
        <w:r>
          <w:rPr>
            <w:rStyle w:val="InternetLink"/>
          </w:rPr>
          <w:t>Max von Oppenheim</w:t>
        </w:r>
      </w:hyperlink>
      <w:r>
        <w:rPr/>
        <w:t xml:space="preserve"> between 1911 and 1927, the earliest Halaf period material was excavated by </w:t>
      </w:r>
      <w:hyperlink r:id="rId22">
        <w:r>
          <w:rPr>
            <w:rStyle w:val="InternetLink"/>
          </w:rPr>
          <w:t>John Garstang</w:t>
        </w:r>
      </w:hyperlink>
      <w:r>
        <w:rPr/>
        <w:t xml:space="preserve"> in 1908 at the site of </w:t>
      </w:r>
      <w:hyperlink r:id="rId23">
        <w:r>
          <w:rPr>
            <w:rStyle w:val="InternetLink"/>
          </w:rPr>
          <w:t>Sakce Gözü</w:t>
        </w:r>
      </w:hyperlink>
      <w:r>
        <w:rPr/>
        <w:t>, then in Syria but now part of Turkey.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"cite_note-2"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[2]</w:t>
      </w:r>
      <w:r>
        <w:rPr>
          <w:rStyle w:val="InternetLink"/>
          <w:vertAlign w:val="superscript"/>
        </w:rPr>
        <w:fldChar w:fldCharType="end"/>
      </w:r>
      <w:r>
        <w:rPr/>
        <w:t xml:space="preserve"> Small amounts of Halaf material were also excavated in 1913 by </w:t>
      </w:r>
      <w:hyperlink r:id="rId24">
        <w:r>
          <w:rPr>
            <w:rStyle w:val="InternetLink"/>
          </w:rPr>
          <w:t>Leonard Woolley</w:t>
        </w:r>
      </w:hyperlink>
      <w:r>
        <w:rPr/>
        <w:t xml:space="preserve"> at Carchemish, on the Turkish/Syrian border.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"cite_note-3"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[3]</w:t>
      </w:r>
      <w:r>
        <w:rPr>
          <w:rStyle w:val="InternetLink"/>
          <w:vertAlign w:val="superscript"/>
        </w:rPr>
        <w:fldChar w:fldCharType="end"/>
      </w:r>
      <w:r>
        <w:rPr/>
        <w:t xml:space="preserve"> However, the most important site for the Halaf tradition was the site of </w:t>
      </w:r>
      <w:hyperlink r:id="rId25">
        <w:r>
          <w:rPr>
            <w:rStyle w:val="InternetLink"/>
          </w:rPr>
          <w:t>Tell Arpachiyah</w:t>
        </w:r>
      </w:hyperlink>
      <w:r>
        <w:rPr/>
        <w:t xml:space="preserve">, now located in the suburbs of </w:t>
      </w:r>
      <w:hyperlink r:id="rId26">
        <w:r>
          <w:rPr>
            <w:rStyle w:val="InternetLink"/>
          </w:rPr>
          <w:t>Mosul</w:t>
        </w:r>
      </w:hyperlink>
      <w:r>
        <w:rPr/>
        <w:t xml:space="preserve">, </w:t>
      </w:r>
      <w:hyperlink r:id="rId27">
        <w:r>
          <w:rPr>
            <w:rStyle w:val="InternetLink"/>
          </w:rPr>
          <w:t>Iraq</w:t>
        </w:r>
      </w:hyperlink>
      <w:r>
        <w:rPr/>
        <w:t>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"cite_note-4"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[4]</w:t>
      </w:r>
      <w:r>
        <w:rPr>
          <w:rStyle w:val="InternetLink"/>
          <w:vertAlign w:val="superscript"/>
        </w:rPr>
        <w:fldChar w:fldCharType="end"/>
      </w:r>
    </w:p>
    <w:p>
      <w:pPr>
        <w:pStyle w:val="NormalWeb"/>
        <w:rPr/>
      </w:pPr>
      <w:r>
        <w:rPr/>
        <w:t xml:space="preserve">The Halaf period was succeeded by the </w:t>
      </w:r>
      <w:hyperlink r:id="rId28">
        <w:r>
          <w:rPr>
            <w:rStyle w:val="InternetLink"/>
          </w:rPr>
          <w:t>Halaf-Ubaid Transitional period</w:t>
        </w:r>
      </w:hyperlink>
      <w:r>
        <w:rPr/>
        <w:t xml:space="preserve"> which comprised the late Halaf (c. 5400-5000 BC), and then by the </w:t>
      </w:r>
      <w:hyperlink r:id="rId29">
        <w:r>
          <w:rPr>
            <w:rStyle w:val="InternetLink"/>
          </w:rPr>
          <w:t>Ubaid period</w:t>
        </w:r>
      </w:hyperlink>
      <w:r>
        <w:rPr/>
        <w:t>.</w:t>
      </w:r>
    </w:p>
    <w:p>
      <w:pPr>
        <w:pStyle w:val="NormalWeb"/>
        <w:rPr/>
      </w:pPr>
      <w:r>
        <w:rPr/>
        <w:drawing>
          <wp:inline distT="0" distB="0" distL="0" distR="0">
            <wp:extent cx="5807710" cy="146304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5" t="-20" r="-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Web"/>
        <w:spacing w:before="0" w:after="0"/>
        <w:rPr>
          <w:vertAlign w:val="superscript"/>
        </w:rPr>
      </w:pPr>
      <w:r>
        <w:rPr>
          <w:b/>
          <w:bCs/>
        </w:rPr>
        <w:t>LC Classification: DS39.T38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6000-5400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Northern Syria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3023235" cy="2823845"/>
            <wp:effectExtent l="0" t="0" r="0" b="0"/>
            <wp:docPr id="4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t xml:space="preserve">Map of </w:t>
      </w:r>
      <w:hyperlink r:id="rId32">
        <w:r>
          <w:rPr>
            <w:rStyle w:val="InternetLink"/>
          </w:rPr>
          <w:t>Iraq</w:t>
        </w:r>
      </w:hyperlink>
      <w:r>
        <w:rPr/>
        <w:t xml:space="preserve"> showing important sites that were occupied during the Halaf culture</w:t>
      </w:r>
      <w:r>
        <w:rPr>
          <w:b/>
        </w:rPr>
        <w:t xml:space="preserve"> . After https://upload.wikimedia.org/wikipedia/commons/thumb/8/80/Iraq_adm_location_map.svg/600px-Iraq_adm_location_map.svg.png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64"/>
        <w:rPr>
          <w:sz w:val="18"/>
          <w:szCs w:val="18"/>
        </w:rPr>
      </w:pPr>
      <w:hyperlink r:id="rId33">
        <w:r>
          <w:rPr>
            <w:rStyle w:val="InternetLink"/>
            <w:sz w:val="18"/>
            <w:szCs w:val="18"/>
          </w:rPr>
          <w:t>Tell Halaf</w:t>
        </w:r>
      </w:hyperlink>
    </w:p>
    <w:p>
      <w:pPr>
        <w:pStyle w:val="Normal"/>
        <w:spacing w:lineRule="auto" w:line="0"/>
        <w:rPr/>
      </w:pPr>
      <w:r>
        <w:rPr/>
        <w:drawing>
          <wp:inline distT="0" distB="0" distL="0" distR="0">
            <wp:extent cx="76200" cy="76200"/>
            <wp:effectExtent l="0" t="0" r="0" b="0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32" t="-632" r="-632" b="-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/>
        <w:rPr>
          <w:sz w:val="18"/>
          <w:szCs w:val="18"/>
        </w:rPr>
      </w:pPr>
      <w:hyperlink r:id="rId35">
        <w:r>
          <w:rPr>
            <w:rStyle w:val="InternetLink"/>
            <w:sz w:val="18"/>
            <w:szCs w:val="18"/>
          </w:rPr>
          <w:t>Tell Brak</w:t>
        </w:r>
      </w:hyperlink>
    </w:p>
    <w:p>
      <w:pPr>
        <w:pStyle w:val="Normal"/>
        <w:spacing w:lineRule="auto" w:line="0"/>
        <w:rPr/>
      </w:pPr>
      <w:r>
        <w:rPr/>
        <w:drawing>
          <wp:inline distT="0" distB="0" distL="0" distR="0">
            <wp:extent cx="76200" cy="76200"/>
            <wp:effectExtent l="0" t="0" r="0" b="0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632" t="-632" r="-632" b="-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/>
        <w:rPr>
          <w:sz w:val="18"/>
          <w:szCs w:val="18"/>
        </w:rPr>
      </w:pPr>
      <w:hyperlink r:id="rId37">
        <w:r>
          <w:rPr>
            <w:rStyle w:val="InternetLink"/>
            <w:sz w:val="18"/>
            <w:szCs w:val="18"/>
          </w:rPr>
          <w:t>Tell Sabi Abyad</w:t>
        </w:r>
      </w:hyperlink>
    </w:p>
    <w:p>
      <w:pPr>
        <w:pStyle w:val="Normal"/>
        <w:spacing w:lineRule="auto" w:line="0"/>
        <w:rPr/>
      </w:pPr>
      <w:r>
        <w:rPr/>
        <w:drawing>
          <wp:inline distT="0" distB="0" distL="0" distR="0">
            <wp:extent cx="76200" cy="76200"/>
            <wp:effectExtent l="0" t="0" r="0" b="0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632" t="-632" r="-632" b="-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/>
        <w:rPr>
          <w:sz w:val="18"/>
          <w:szCs w:val="18"/>
        </w:rPr>
      </w:pPr>
      <w:hyperlink r:id="rId39">
        <w:r>
          <w:rPr>
            <w:rStyle w:val="InternetLink"/>
            <w:sz w:val="18"/>
            <w:szCs w:val="18"/>
          </w:rPr>
          <w:t>Tell Arpachiyah</w:t>
        </w:r>
      </w:hyperlink>
    </w:p>
    <w:p>
      <w:pPr>
        <w:pStyle w:val="Normal"/>
        <w:spacing w:lineRule="auto" w:line="0"/>
        <w:rPr/>
      </w:pPr>
      <w:r>
        <w:rPr/>
        <w:drawing>
          <wp:inline distT="0" distB="0" distL="0" distR="0">
            <wp:extent cx="76200" cy="76200"/>
            <wp:effectExtent l="0" t="0" r="0" b="0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632" t="-632" r="-632" b="-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/>
        <w:rPr>
          <w:sz w:val="18"/>
          <w:szCs w:val="18"/>
        </w:rPr>
      </w:pPr>
      <w:hyperlink r:id="rId41">
        <w:r>
          <w:rPr>
            <w:rStyle w:val="InternetLink"/>
            <w:sz w:val="18"/>
            <w:szCs w:val="18"/>
          </w:rPr>
          <w:t>Tepe Gawra</w:t>
        </w:r>
      </w:hyperlink>
    </w:p>
    <w:p>
      <w:pPr>
        <w:pStyle w:val="Normal"/>
        <w:spacing w:lineRule="auto" w:line="0"/>
        <w:rPr/>
      </w:pPr>
      <w:r>
        <w:rPr/>
        <w:drawing>
          <wp:inline distT="0" distB="0" distL="0" distR="0">
            <wp:extent cx="76200" cy="76200"/>
            <wp:effectExtent l="0" t="0" r="0" b="0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632" t="-632" r="-632" b="-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/>
        <w:rPr>
          <w:sz w:val="18"/>
          <w:szCs w:val="18"/>
        </w:rPr>
      </w:pPr>
      <w:hyperlink r:id="rId43">
        <w:r>
          <w:rPr>
            <w:rStyle w:val="InternetLink"/>
            <w:sz w:val="18"/>
            <w:szCs w:val="18"/>
          </w:rPr>
          <w:t>Chagar Bazar</w:t>
        </w:r>
      </w:hyperlink>
    </w:p>
    <w:p>
      <w:pPr>
        <w:pStyle w:val="Normal"/>
        <w:rPr>
          <w:rStyle w:val="Plainlinks"/>
          <w:b/>
          <w:b/>
        </w:rPr>
      </w:pPr>
      <w:r>
        <w:rPr>
          <w:b/>
        </w:rPr>
        <w:t xml:space="preserve">GPS coordinates: </w:t>
      </w:r>
      <w:hyperlink r:id="rId44">
        <w:r>
          <w:rPr>
            <w:rStyle w:val="Geodec"/>
            <w:color w:val="0000FF"/>
            <w:u w:val="single"/>
          </w:rPr>
          <w:t>36.8266°N 40.0396°E</w:t>
        </w:r>
      </w:hyperlink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Tell Halaf</w:t>
      </w:r>
      <w:r>
        <w:rPr/>
        <w:t xml:space="preserve"> (</w:t>
      </w:r>
      <w:hyperlink r:id="rId45">
        <w:r>
          <w:rPr>
            <w:rStyle w:val="InternetLink"/>
          </w:rPr>
          <w:t>Arabic</w:t>
        </w:r>
      </w:hyperlink>
      <w:r>
        <w:rPr/>
        <w:t xml:space="preserve">: </w:t>
      </w:r>
      <w:r>
        <w:rPr>
          <w:rtl w:val="true"/>
        </w:rPr>
        <w:t>تل حلف</w:t>
      </w:r>
      <w:r>
        <w:rPr/>
        <w:t>‎</w:t>
      </w:r>
      <w:r>
        <w:rPr/>
        <w:t xml:space="preserve">) is an archaeological site in the </w:t>
      </w:r>
      <w:hyperlink r:id="rId46">
        <w:r>
          <w:rPr>
            <w:rStyle w:val="InternetLink"/>
          </w:rPr>
          <w:t>Al Hasakah</w:t>
        </w:r>
      </w:hyperlink>
      <w:r>
        <w:rPr/>
        <w:t xml:space="preserve"> governorate of northeastern </w:t>
      </w:r>
      <w:hyperlink r:id="rId47">
        <w:r>
          <w:rPr>
            <w:rStyle w:val="InternetLink"/>
          </w:rPr>
          <w:t>Syria</w:t>
        </w:r>
      </w:hyperlink>
      <w:r>
        <w:rPr/>
        <w:t xml:space="preserve">, near the </w:t>
      </w:r>
      <w:hyperlink r:id="rId48">
        <w:r>
          <w:rPr>
            <w:rStyle w:val="InternetLink"/>
          </w:rPr>
          <w:t>Turkish</w:t>
        </w:r>
      </w:hyperlink>
      <w:r>
        <w:rPr/>
        <w:t xml:space="preserve"> border, just opposite </w:t>
      </w:r>
      <w:hyperlink r:id="rId49">
        <w:r>
          <w:rPr>
            <w:rStyle w:val="InternetLink"/>
          </w:rPr>
          <w:t>Ceylanpınar</w:t>
        </w:r>
      </w:hyperlink>
      <w:r>
        <w:rPr/>
        <w:t xml:space="preserve">. It was the first find of a </w:t>
      </w:r>
      <w:hyperlink r:id="rId50">
        <w:r>
          <w:rPr>
            <w:rStyle w:val="InternetLink"/>
          </w:rPr>
          <w:t>Neolithic</w:t>
        </w:r>
      </w:hyperlink>
      <w:r>
        <w:rPr/>
        <w:t xml:space="preserve"> culture, subsequently dubbed the </w:t>
      </w:r>
      <w:hyperlink r:id="rId51">
        <w:r>
          <w:rPr>
            <w:rStyle w:val="InternetLink"/>
          </w:rPr>
          <w:t>Halaf culture</w:t>
        </w:r>
      </w:hyperlink>
      <w:r>
        <w:rPr/>
        <w:t xml:space="preserve">, characterized by glazed pottery painted with geometric and animal designs. The site, which dates to the 6th millennium BCE, was a </w:t>
      </w:r>
      <w:hyperlink r:id="rId52">
        <w:r>
          <w:rPr>
            <w:rStyle w:val="InternetLink"/>
          </w:rPr>
          <w:t>Hittite</w:t>
        </w:r>
      </w:hyperlink>
      <w:r>
        <w:rPr/>
        <w:t xml:space="preserve"> ruling city at first and was later the location of the </w:t>
      </w:r>
      <w:hyperlink r:id="rId53">
        <w:r>
          <w:rPr>
            <w:rStyle w:val="InternetLink"/>
          </w:rPr>
          <w:t>Aramaean</w:t>
        </w:r>
      </w:hyperlink>
      <w:r>
        <w:rPr/>
        <w:t xml:space="preserve"> city-state of </w:t>
      </w:r>
      <w:r>
        <w:rPr>
          <w:b/>
          <w:bCs/>
        </w:rPr>
        <w:t>Guzana</w:t>
      </w:r>
      <w:r>
        <w:rPr/>
        <w:t xml:space="preserve"> or Gozan in the 10th century BCE. By the end of 9th century BCE the city and its surrounding area was incorporated into the </w:t>
      </w:r>
      <w:hyperlink r:id="rId54">
        <w:r>
          <w:rPr>
            <w:rStyle w:val="InternetLink"/>
          </w:rPr>
          <w:t>Assyrian Empire</w:t>
        </w:r>
      </w:hyperlink>
      <w:r>
        <w:rPr/>
        <w:t>.</w:t>
      </w:r>
    </w:p>
    <w:p>
      <w:pPr>
        <w:pStyle w:val="NormalWeb"/>
        <w:rPr/>
      </w:pPr>
      <w:r>
        <w:rPr/>
        <w:t xml:space="preserve">A formerly unknown transitional culture between the pre-Halaf </w:t>
      </w:r>
      <w:hyperlink r:id="rId55">
        <w:r>
          <w:rPr>
            <w:rStyle w:val="InternetLink"/>
          </w:rPr>
          <w:t>Neolithic</w:t>
        </w:r>
      </w:hyperlink>
      <w:r>
        <w:rPr/>
        <w:t xml:space="preserve">'s era and Halaf's era was uncovered in the </w:t>
      </w:r>
      <w:hyperlink r:id="rId56">
        <w:r>
          <w:rPr>
            <w:rStyle w:val="InternetLink"/>
          </w:rPr>
          <w:t>Balikh</w:t>
        </w:r>
      </w:hyperlink>
      <w:r>
        <w:rPr/>
        <w:t xml:space="preserve"> valley, at </w:t>
      </w:r>
      <w:hyperlink r:id="rId57">
        <w:r>
          <w:rPr>
            <w:rStyle w:val="InternetLink"/>
          </w:rPr>
          <w:t>Tell Sabi Abyad</w:t>
        </w:r>
      </w:hyperlink>
      <w:r>
        <w:rPr/>
        <w:t xml:space="preserve"> (the Mound of the White Boy).</w:t>
      </w:r>
    </w:p>
    <w:p>
      <w:pPr>
        <w:pStyle w:val="NormalWeb"/>
        <w:rPr>
          <w:vertAlign w:val="superscript"/>
        </w:rPr>
      </w:pPr>
      <w:r>
        <w:rPr/>
        <w:t xml:space="preserve">Currently, eleven occupational layers have been unearthed in Sabi Abyad. Levels from 11 to 7 are considered </w:t>
      </w:r>
      <w:r>
        <w:rPr>
          <w:i/>
          <w:iCs/>
        </w:rPr>
        <w:t>pre-Halaf</w:t>
      </w:r>
      <w:r>
        <w:rPr/>
        <w:t xml:space="preserve">; from 6 to 4, transitional; and from 3 to 1, </w:t>
      </w:r>
      <w:r>
        <w:rPr>
          <w:i/>
          <w:iCs/>
        </w:rPr>
        <w:t>early Halaf</w:t>
      </w:r>
      <w:r>
        <w:rPr/>
        <w:t>. No hiatus in occupation is observed except between levels 11 and 10.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"cite_note-akerm-5"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[5]</w:t>
      </w:r>
      <w:r>
        <w:rPr>
          <w:rStyle w:val="InternetLink"/>
          <w:vertAlign w:val="superscript"/>
        </w:rPr>
        <w:fldChar w:fldCharType="end"/>
      </w:r>
      <w:r>
        <w:rPr/>
        <w:t xml:space="preserve"> The new archaeology demonstrated that Halaf culture was not sudden and was not the result of foreign people, but rather a continuous process of indigenous cultural changes in northern Syria,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"cite_note-7"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[7]</w:t>
      </w:r>
      <w:r>
        <w:rPr>
          <w:rStyle w:val="InternetLink"/>
          <w:vertAlign w:val="superscript"/>
        </w:rPr>
        <w:fldChar w:fldCharType="end"/>
      </w:r>
      <w:r>
        <w:rPr/>
        <w:t xml:space="preserve"> that spread to the other regions.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"cite_note-mario-1"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[1]</w:t>
      </w:r>
      <w:r>
        <w:rPr>
          <w:rStyle w:val="InternetLink"/>
          <w:vertAlign w:val="superscript"/>
        </w:rPr>
        <w:fldChar w:fldCharType="end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HTMLCite"/>
        </w:rPr>
        <w:t xml:space="preserve">Akkermans, Peter M. M. G.; Schwartz, Glenn M. (2003). The Archaeology of Syria: From Complex Hunter-Gatherers to Early Urban Societies (c.16,000-300 BC). </w:t>
      </w:r>
      <w:hyperlink r:id="rId58">
        <w:r>
          <w:rPr>
            <w:rStyle w:val="InternetLink"/>
            <w:i/>
            <w:iCs/>
          </w:rPr>
          <w:t>Cambridge University Press</w:t>
        </w:r>
      </w:hyperlink>
      <w:r>
        <w:rPr>
          <w:rStyle w:val="HTMLCite"/>
        </w:rPr>
        <w:t>.</w:t>
      </w:r>
    </w:p>
    <w:p>
      <w:pPr>
        <w:pStyle w:val="Normal"/>
        <w:rPr/>
      </w:pPr>
      <w:r>
        <w:rPr>
          <w:rStyle w:val="Referencetext"/>
        </w:rPr>
        <w:t xml:space="preserve">Campbell, S. 2000. "The Burnt House at Arpachiyah: A Reexamination" </w:t>
      </w:r>
      <w:r>
        <w:rPr>
          <w:rStyle w:val="Referencetext"/>
          <w:i/>
          <w:iCs/>
        </w:rPr>
        <w:t>Bulletin of the American Schools of Oriental Research</w:t>
      </w:r>
      <w:r>
        <w:rPr>
          <w:rStyle w:val="Referencetext"/>
        </w:rPr>
        <w:t xml:space="preserve"> no. 318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 xml:space="preserve">Castro Gessner, G. 2011. "A Brief Overview of the Halaf Tradition" in Steadman, S and McMahon, G (eds.) </w:t>
      </w:r>
      <w:r>
        <w:rPr>
          <w:rStyle w:val="Referencetext"/>
          <w:i/>
          <w:iCs/>
        </w:rPr>
        <w:t>The Oxford Handbook of Ancient anatolia</w:t>
      </w:r>
      <w:r>
        <w:rPr>
          <w:rStyle w:val="Referencetext"/>
        </w:rPr>
        <w:t>. Oxford: Oxford University Press. pp. 780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 xml:space="preserve">Castro Gessner, G. 2011. "A Brief Overview of the Halaf Tradition" in Steadman, S and McMahon, G (eds.) </w:t>
      </w:r>
      <w:r>
        <w:rPr>
          <w:rStyle w:val="Referencetext"/>
          <w:i/>
          <w:iCs/>
        </w:rPr>
        <w:t>The Oxford Handbook of Ancient anatolia</w:t>
      </w:r>
      <w:r>
        <w:rPr>
          <w:rStyle w:val="Referencetext"/>
        </w:rPr>
        <w:t>. Oxford: Oxford University Press. pp. 781</w:t>
      </w:r>
      <w:r>
        <w:rPr/>
        <w:t xml:space="preserve"> </w:t>
      </w:r>
    </w:p>
    <w:p>
      <w:pPr>
        <w:pStyle w:val="Normal"/>
        <w:rPr/>
      </w:pPr>
      <w:r>
        <w:rPr>
          <w:rStyle w:val="HTMLCite"/>
        </w:rPr>
        <w:t xml:space="preserve">Liverani, Mario (2013). The Ancient Near East: History, Society and Economy. </w:t>
      </w:r>
      <w:hyperlink r:id="rId59">
        <w:r>
          <w:rPr>
            <w:rStyle w:val="InternetLink"/>
            <w:i/>
            <w:iCs/>
          </w:rPr>
          <w:t>Routledge</w:t>
        </w:r>
      </w:hyperlink>
      <w:r>
        <w:rPr>
          <w:rStyle w:val="HTMLCite"/>
        </w:rPr>
        <w:t>.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HTMLCite"/>
        </w:rPr>
        <w:t xml:space="preserve">Maria Grazia Masetti-Rouault; Olivier Rouault; M. Wafler (2000). </w:t>
      </w:r>
      <w:hyperlink r:id="rId60">
        <w:r>
          <w:rPr>
            <w:rStyle w:val="InternetLink"/>
            <w:i/>
            <w:iCs/>
            <w:lang w:val="fr-FR"/>
          </w:rPr>
          <w:t>La Djéziré et l'Euphrate syriens de la protohistoire à la fin du second millénaire av. J.C, Tendances dans l'interprétation historique des données nouvelles, (Subartu) - Chapter : Old and New Perspectives on the Origins of the Halaf Culture by Peter Akkermans</w:t>
        </w:r>
      </w:hyperlink>
      <w:r>
        <w:rPr>
          <w:rStyle w:val="HTMLCite"/>
          <w:lang w:val="fr-FR"/>
        </w:rPr>
        <w:t>. pp. 43–44.</w:t>
      </w:r>
      <w:r>
        <w:rPr>
          <w:lang w:val="fr-FR"/>
        </w:rPr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HTMLCite"/>
        </w:rPr>
        <w:t xml:space="preserve">John L. Brooke (2014). </w:t>
      </w:r>
      <w:r>
        <w:fldChar w:fldCharType="begin"/>
      </w:r>
      <w:r>
        <w:rPr>
          <w:rStyle w:val="InternetLink"/>
          <w:i/>
          <w:iCs/>
        </w:rPr>
        <w:instrText> HYPERLINK "https://books.google.nl/books?id=O9TSAgAAQBAJ&amp;pg=PA204" \l "v=onepage&amp;q&amp;f=false"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</w:rPr>
        <w:t>Climate Change and the Course of Global History: A Rough Journey</w:t>
      </w:r>
      <w:r>
        <w:rPr>
          <w:rStyle w:val="InternetLink"/>
          <w:i/>
          <w:iCs/>
        </w:rPr>
        <w:fldChar w:fldCharType="end"/>
      </w:r>
      <w:r>
        <w:rPr>
          <w:rStyle w:val="HTMLCite"/>
        </w:rPr>
        <w:t>. p. 204.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>
          <w:lang w:val="fr-FR"/>
        </w:rPr>
        <w:t xml:space="preserve">  </w:t>
      </w:r>
      <w:r>
        <w:rPr>
          <w:rFonts w:cs="Symbol"/>
        </w:rPr>
        <w:t></w:t>
      </w:r>
      <w:r>
        <w:rPr>
          <w:lang w:val="fr-FR"/>
        </w:rPr>
        <w:t xml:space="preserve">  </w:t>
      </w:r>
      <w:r>
        <w:rPr>
          <w:rStyle w:val="HTMLCite"/>
          <w:lang w:val="fr-FR"/>
        </w:rPr>
        <w:t xml:space="preserve">Georges Roux (1992). </w:t>
      </w:r>
      <w:r>
        <w:fldChar w:fldCharType="begin"/>
      </w:r>
      <w:r>
        <w:rPr>
          <w:rStyle w:val="InternetLink"/>
          <w:i/>
          <w:iCs/>
        </w:rPr>
        <w:instrText> HYPERLINK "https://books.google.nl/books?id=klZX8B_RzzYC&amp;pg=PT101" \l "v=onepage&amp;q&amp;f=false"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  <w:lang w:val="fr-FR"/>
        </w:rPr>
        <w:t>Ancient Iraq</w:t>
      </w:r>
      <w:r>
        <w:rPr>
          <w:rStyle w:val="InternetLink"/>
          <w:i/>
          <w:iCs/>
        </w:rPr>
        <w:fldChar w:fldCharType="end"/>
      </w:r>
      <w:r>
        <w:rPr>
          <w:rStyle w:val="HTMLCite"/>
          <w:lang w:val="fr-FR"/>
        </w:rPr>
        <w:t>. p. 101.</w:t>
      </w:r>
      <w:r>
        <w:rPr>
          <w:lang w:val="fr-FR"/>
        </w:rPr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HTMLCite"/>
        </w:rPr>
        <w:t xml:space="preserve">Susan Pollock; Reinhard Bernbeck (2009). </w:t>
      </w:r>
      <w:r>
        <w:fldChar w:fldCharType="begin"/>
      </w:r>
      <w:r>
        <w:rPr>
          <w:rStyle w:val="InternetLink"/>
          <w:i/>
          <w:iCs/>
        </w:rPr>
        <w:instrText> HYPERLINK "https://books.google.nl/books?id=bRUMQb_1uKcC&amp;pg=PA190" \l "v=onepage&amp;q&amp;f=false"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</w:rPr>
        <w:t>Archaeologies of the Middle East: Critical Perspectives</w:t>
      </w:r>
      <w:r>
        <w:rPr>
          <w:rStyle w:val="InternetLink"/>
          <w:i/>
          <w:iCs/>
        </w:rPr>
        <w:fldChar w:fldCharType="end"/>
      </w:r>
      <w:r>
        <w:rPr>
          <w:rStyle w:val="HTMLCite"/>
        </w:rPr>
        <w:t>. p. 190.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HTMLCite"/>
        </w:rPr>
        <w:t xml:space="preserve">Peter M. M. G. Akkermans, Glenn M. Schwartz (2003). </w:t>
      </w:r>
      <w:r>
        <w:fldChar w:fldCharType="begin"/>
      </w:r>
      <w:r>
        <w:rPr>
          <w:rStyle w:val="InternetLink"/>
          <w:i/>
          <w:iCs/>
        </w:rPr>
        <w:instrText> HYPERLINK "https://books.google.nl/books?id=_4oqvpAHDEoC&amp;pg=PA157" \l "v=onepage&amp;q&amp;f=false"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</w:rPr>
        <w:t>The Archaeology of Syria: From Complex Hunter-Gatherers to Early Urban Societies (c.16,000-300 BC)</w:t>
      </w:r>
      <w:r>
        <w:rPr>
          <w:rStyle w:val="InternetLink"/>
          <w:i/>
          <w:iCs/>
        </w:rPr>
        <w:fldChar w:fldCharType="end"/>
      </w:r>
      <w:r>
        <w:rPr>
          <w:rStyle w:val="HTMLCite"/>
        </w:rPr>
        <w:t>. p. 157.</w:t>
      </w:r>
      <w:r>
        <w:rPr/>
        <w:t xml:space="preserve"> </w:t>
      </w:r>
    </w:p>
    <w:p>
      <w:pPr>
        <w:pStyle w:val="NormalWeb"/>
        <w:rPr>
          <w:vertAlign w:val="superscript"/>
        </w:rPr>
      </w:pPr>
      <w:r>
        <w:rPr>
          <w:rFonts w:cs="Symbol"/>
        </w:rPr>
        <w:t></w:t>
      </w:r>
      <w:r>
        <w:rPr/>
        <w:t xml:space="preserve">  </w:t>
      </w:r>
      <w:r>
        <w:rPr>
          <w:rStyle w:val="HTMLCite"/>
        </w:rPr>
        <w:t xml:space="preserve">Robert J. Speakman; Hector Neff (2005). </w:t>
      </w:r>
      <w:r>
        <w:fldChar w:fldCharType="begin"/>
      </w:r>
      <w:r>
        <w:rPr>
          <w:rStyle w:val="InternetLink"/>
          <w:i/>
          <w:iCs/>
        </w:rPr>
        <w:instrText> HYPERLINK "https://books.google.nl/books?id=jcOqDcDrNt4C&amp;pg=PA128" \l "v=onepage&amp;q&amp;f=false"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</w:rPr>
        <w:t>Laser Ablation ICP-MS in Archaeological Research</w:t>
      </w:r>
      <w:r>
        <w:rPr>
          <w:rStyle w:val="InternetLink"/>
          <w:i/>
          <w:iCs/>
        </w:rPr>
        <w:fldChar w:fldCharType="end"/>
      </w:r>
      <w:r>
        <w:rPr>
          <w:rStyle w:val="HTMLCite"/>
        </w:rPr>
        <w:t>. p. 128</w:t>
      </w:r>
    </w:p>
    <w:p>
      <w:pPr>
        <w:pStyle w:val="NormalWeb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shd w:fill="F8F8F8" w:val="clear"/>
        <w:spacing w:lineRule="atLeast" w:line="468" w:before="0" w:after="120"/>
        <w:ind w:start="-540" w:end="-540" w:hanging="0"/>
        <w:rPr>
          <w:rFonts w:ascii="Helvetica" w:hAnsi="Helvetica" w:cs="Helvetica"/>
          <w:b w:val="false"/>
          <w:b w:val="false"/>
          <w:bCs w:val="false"/>
          <w:color w:val="333333"/>
          <w:sz w:val="50"/>
          <w:szCs w:val="50"/>
        </w:rPr>
      </w:pPr>
      <w:r>
        <w:rPr>
          <w:rFonts w:cs="Helvetica" w:ascii="Helvetica" w:hAnsi="Helvetica"/>
          <w:b w:val="false"/>
          <w:bCs w:val="false"/>
          <w:color w:val="333333"/>
          <w:sz w:val="50"/>
          <w:szCs w:val="50"/>
        </w:rPr>
        <w:t>Order details</w:t>
      </w:r>
    </w:p>
    <w:p>
      <w:pPr>
        <w:pStyle w:val="Normal"/>
        <w:shd w:fill="F8F8F8" w:val="clear"/>
        <w:spacing w:lineRule="atLeast" w:line="252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"/>
          <w:rFonts w:cs="Helvetica" w:ascii="Helvetica" w:hAnsi="Helvetica"/>
          <w:color w:val="333333"/>
          <w:sz w:val="29"/>
          <w:szCs w:val="29"/>
        </w:rPr>
        <w:t>Printer friendly page</w:t>
      </w:r>
    </w:p>
    <w:p>
      <w:pPr>
        <w:pStyle w:val="Heading2"/>
        <w:shd w:fill="FFFFFF" w:val="clear"/>
        <w:spacing w:before="0" w:after="0"/>
        <w:ind w:start="-270" w:end="-270" w:hanging="0"/>
        <w:rPr>
          <w:rFonts w:ascii="Helvetica" w:hAnsi="Helvetica" w:cs="Helvetica"/>
          <w:b w:val="false"/>
          <w:b w:val="false"/>
          <w:bCs w:val="false"/>
          <w:color w:val="333333"/>
          <w:sz w:val="43"/>
          <w:szCs w:val="43"/>
        </w:rPr>
      </w:pPr>
      <w:r>
        <w:rPr>
          <w:rFonts w:cs="Helvetica" w:ascii="Helvetica" w:hAnsi="Helvetica"/>
          <w:b w:val="false"/>
          <w:bCs w:val="false"/>
          <w:color w:val="333333"/>
          <w:sz w:val="43"/>
          <w:szCs w:val="43"/>
        </w:rPr>
        <w:t>Sales order</w:t>
      </w:r>
    </w:p>
    <w:p>
      <w:pPr>
        <w:pStyle w:val="Normal"/>
        <w:shd w:fill="EEEEEE" w:val="clear"/>
        <w:spacing w:lineRule="atLeast" w:line="666"/>
        <w:ind w:start="-540" w:end="-540" w:hanging="0"/>
        <w:rPr/>
      </w:pPr>
      <w:r>
        <w:rPr>
          <w:rFonts w:cs="Helvetica" w:ascii="Helvetica" w:hAnsi="Helvetica"/>
          <w:color w:val="333333"/>
          <w:sz w:val="25"/>
          <w:szCs w:val="25"/>
        </w:rPr>
        <w:t>Sold by</w:t>
      </w:r>
      <w:r>
        <w:rPr>
          <w:rStyle w:val="Appleconvertedspace"/>
          <w:rFonts w:cs="Helvetica" w:ascii="Helvetica" w:hAnsi="Helvetica"/>
          <w:color w:val="333333"/>
          <w:sz w:val="25"/>
          <w:szCs w:val="25"/>
        </w:rPr>
        <w:t> </w:t>
      </w:r>
      <w:hyperlink r:id="rId61" w:tgtFrame="_blank">
        <w:r>
          <w:rPr>
            <w:rStyle w:val="StrongEmphasis"/>
            <w:rFonts w:cs="Helvetica" w:ascii="Helvetica" w:hAnsi="Helvetica"/>
            <w:color w:val="6A29B9"/>
            <w:sz w:val="25"/>
            <w:szCs w:val="25"/>
          </w:rPr>
          <w:t>coinauction12</w:t>
        </w:r>
      </w:hyperlink>
      <w:r>
        <w:rPr>
          <w:rStyle w:val="Appleconvertedspace"/>
          <w:rFonts w:cs="Helvetica" w:ascii="Helvetica" w:hAnsi="Helvetica"/>
          <w:color w:val="333333"/>
          <w:sz w:val="25"/>
          <w:szCs w:val="25"/>
        </w:rPr>
        <w:t> </w:t>
      </w:r>
      <w:r>
        <w:rPr>
          <w:rFonts w:cs="Helvetica" w:ascii="Helvetica" w:hAnsi="Helvetica"/>
          <w:color w:val="333333"/>
          <w:sz w:val="25"/>
          <w:szCs w:val="25"/>
        </w:rPr>
        <w:t>(</w:t>
      </w:r>
      <w:r>
        <w:rPr>
          <w:rStyle w:val="Appleconvertedspace"/>
          <w:rFonts w:cs="Helvetica" w:ascii="Helvetica" w:hAnsi="Helvetica"/>
          <w:color w:val="333333"/>
          <w:sz w:val="25"/>
          <w:szCs w:val="25"/>
        </w:rPr>
        <w:t> </w:t>
      </w:r>
      <w:hyperlink r:id="rId62" w:tgtFrame="_blank">
        <w:r>
          <w:rPr>
            <w:rStyle w:val="InternetLink"/>
            <w:rFonts w:cs="Helvetica" w:ascii="Helvetica" w:hAnsi="Helvetica"/>
            <w:color w:val="6A29B9"/>
            <w:sz w:val="25"/>
            <w:szCs w:val="25"/>
            <w:u w:val="none"/>
          </w:rPr>
          <w:t>5855</w:t>
        </w:r>
      </w:hyperlink>
      <w:r>
        <w:rPr>
          <w:rStyle w:val="Appleconvertedspace"/>
          <w:rFonts w:cs="Helvetica" w:ascii="Helvetica" w:hAnsi="Helvetica"/>
          <w:color w:val="333333"/>
          <w:sz w:val="25"/>
          <w:szCs w:val="25"/>
        </w:rPr>
        <w:t> </w:t>
      </w:r>
      <w:r>
        <w:rPr>
          <w:rFonts w:cs="Helvetica" w:ascii="Helvetica" w:hAnsi="Helvetica"/>
          <w:color w:val="333333"/>
          <w:sz w:val="25"/>
          <w:szCs w:val="25"/>
        </w:rPr>
        <w:t>)</w:t>
      </w:r>
    </w:p>
    <w:p>
      <w:pPr>
        <w:pStyle w:val="Normal"/>
        <w:shd w:fill="EEEEEE" w:val="clear"/>
        <w:spacing w:lineRule="atLeast" w:line="666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"/>
          <w:rFonts w:cs="Helvetica" w:ascii="Helvetica" w:hAnsi="Helvetica"/>
          <w:color w:val="0654BA"/>
          <w:sz w:val="29"/>
          <w:szCs w:val="29"/>
        </w:rPr>
        <w:t>+ Show additional actions</w:t>
      </w:r>
    </w:p>
    <w:p>
      <w:pPr>
        <w:pStyle w:val="Heading3"/>
        <w:shd w:fill="FFFFFF" w:val="clear"/>
        <w:spacing w:lineRule="atLeast" w:line="900" w:before="0" w:after="0"/>
        <w:ind w:start="-540" w:end="-540" w:hanging="0"/>
        <w:rPr>
          <w:rFonts w:ascii="Helvetica" w:hAnsi="Helvetica" w:cs="Helvetica"/>
          <w:b w:val="false"/>
          <w:b w:val="false"/>
          <w:bCs w:val="false"/>
          <w:color w:val="333333"/>
          <w:sz w:val="36"/>
          <w:szCs w:val="36"/>
        </w:rPr>
      </w:pPr>
      <w:r>
        <w:rPr>
          <w:rFonts w:cs="Helvetica" w:ascii="Helvetica" w:hAnsi="Helvetica"/>
          <w:b w:val="false"/>
          <w:bCs w:val="false"/>
          <w:color w:val="333333"/>
          <w:sz w:val="36"/>
          <w:szCs w:val="36"/>
        </w:rPr>
        <w:t>Delivery package 1 of 1</w:t>
      </w:r>
    </w:p>
    <w:p>
      <w:pPr>
        <w:pStyle w:val="Normal"/>
        <w:shd w:fill="D9EDF7" w:val="clear"/>
        <w:spacing w:lineRule="atLeast" w:line="306"/>
        <w:ind w:start="-540" w:end="-540" w:hanging="0"/>
        <w:rPr>
          <w:rFonts w:ascii="Helvetica" w:hAnsi="Helvetica" w:cs="Helvetica"/>
          <w:color w:val="31708F"/>
          <w:sz w:val="25"/>
          <w:szCs w:val="25"/>
        </w:rPr>
      </w:pPr>
      <w:r>
        <w:rPr>
          <w:rStyle w:val="Ngbindingngscope"/>
          <w:rFonts w:cs="Helvetica" w:ascii="Helvetica" w:hAnsi="Helvetica"/>
          <w:color w:val="31708F"/>
          <w:sz w:val="25"/>
          <w:szCs w:val="25"/>
        </w:rPr>
        <w:t>Estimated delivery</w:t>
      </w:r>
      <w:r>
        <w:rPr>
          <w:rStyle w:val="Appleconvertedspace"/>
          <w:rFonts w:cs="Helvetica" w:ascii="Helvetica" w:hAnsi="Helvetica"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Friday, May 20, 2016</w:t>
      </w:r>
      <w:r>
        <w:rPr>
          <w:rStyle w:val="Appleconvertedspace"/>
          <w:rFonts w:cs="Helvetica" w:ascii="Helvetica" w:hAnsi="Helvetica"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-</w:t>
      </w:r>
      <w:r>
        <w:rPr>
          <w:rStyle w:val="Appleconvertedspace"/>
          <w:rFonts w:cs="Helvetica" w:ascii="Helvetica" w:hAnsi="Helvetica"/>
          <w:b/>
          <w:bCs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Thursday, May 26, 2016</w:t>
      </w:r>
    </w:p>
    <w:p>
      <w:pPr>
        <w:pStyle w:val="Normal"/>
        <w:shd w:fill="FFFFFF" w:val="clear"/>
        <w:spacing w:lineRule="atLeast" w:line="252"/>
        <w:ind w:start="-540" w:end="-54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drawing>
          <wp:inline distT="0" distB="0" distL="0" distR="0">
            <wp:extent cx="3810000" cy="3810000"/>
            <wp:effectExtent l="0" t="0" r="0" b="0"/>
            <wp:docPr id="10" name="39145237343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9145237343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360" w:before="0" w:after="0"/>
        <w:ind w:start="-720" w:end="-810" w:hanging="0"/>
        <w:rPr>
          <w:rFonts w:ascii="Helvetica" w:hAnsi="Helvetica" w:cs="Helvetica"/>
          <w:color w:val="333333"/>
          <w:sz w:val="29"/>
          <w:szCs w:val="29"/>
        </w:rPr>
      </w:pPr>
      <w:hyperlink r:id="rId64" w:tgtFrame="_blank">
        <w:r>
          <w:rPr>
            <w:rStyle w:val="InternetLink"/>
            <w:rFonts w:cs="Helvetica" w:ascii="Helvetica" w:hAnsi="Helvetica"/>
            <w:color w:val="333333"/>
            <w:sz w:val="29"/>
            <w:szCs w:val="29"/>
            <w:u w:val="none"/>
          </w:rPr>
          <w:t>MUSEUM QUALITY TERRACOTTA TEL HALF FEMALE STATUE IDOL 6100-5400 BC</w:t>
        </w:r>
      </w:hyperlink>
    </w:p>
    <w:tbl>
      <w:tblPr>
        <w:tblW w:w="4948" w:type="dxa"/>
        <w:jc w:val="start"/>
        <w:tblInd w:w="-900" w:type="dxa"/>
        <w:tblBorders/>
        <w:tblCellMar>
          <w:top w:w="90" w:type="dxa"/>
          <w:start w:w="90" w:type="dxa"/>
          <w:bottom w:w="90" w:type="dxa"/>
          <w:end w:w="90" w:type="dxa"/>
        </w:tblCellMar>
      </w:tblPr>
      <w:tblGrid>
        <w:gridCol w:w="1797"/>
        <w:gridCol w:w="3151"/>
      </w:tblGrid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price</w:t>
            </w:r>
          </w:p>
        </w:tc>
        <w:tc>
          <w:tcPr>
            <w:tcW w:w="31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GBP 65.00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Quantity</w:t>
            </w:r>
          </w:p>
        </w:tc>
        <w:tc>
          <w:tcPr>
            <w:tcW w:w="31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number</w:t>
            </w:r>
          </w:p>
        </w:tc>
        <w:tc>
          <w:tcPr>
            <w:tcW w:w="31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391452373433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Shipping service</w:t>
            </w:r>
          </w:p>
        </w:tc>
        <w:tc>
          <w:tcPr>
            <w:tcW w:w="31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rStyle w:val="Ngbindingngscope"/>
                <w:sz w:val="23"/>
                <w:szCs w:val="23"/>
              </w:rPr>
              <w:t>Royal Mail International Signed</w:t>
            </w:r>
          </w:p>
        </w:tc>
      </w:tr>
    </w:tbl>
    <w:p>
      <w:pPr>
        <w:pStyle w:val="Normal"/>
        <w:shd w:fill="FFFFFF" w:val="clear"/>
        <w:spacing w:lineRule="atLeast" w:line="252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65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u w:val="none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252" w:before="90" w:after="0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66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u w:val="none"/>
            <w:shd w:fill="FFFFFF" w:val="clear"/>
          </w:rPr>
          <w:t>Return item</w:t>
        </w:r>
      </w:hyperlink>
    </w:p>
    <w:p>
      <w:pPr>
        <w:pStyle w:val="Heading2"/>
        <w:shd w:fill="FFFFFF" w:val="clear"/>
        <w:spacing w:before="0" w:after="0"/>
        <w:ind w:start="-270" w:end="-270" w:hanging="0"/>
        <w:rPr>
          <w:rFonts w:ascii="Helvetica" w:hAnsi="Helvetica" w:cs="Helvetica"/>
          <w:b w:val="false"/>
          <w:b w:val="false"/>
          <w:bCs w:val="false"/>
          <w:color w:val="333333"/>
          <w:sz w:val="43"/>
          <w:szCs w:val="43"/>
        </w:rPr>
      </w:pPr>
      <w:r>
        <w:rPr>
          <w:rFonts w:cs="Helvetica" w:ascii="Helvetica" w:hAnsi="Helvetica"/>
          <w:b w:val="false"/>
          <w:bCs w:val="false"/>
          <w:color w:val="333333"/>
          <w:sz w:val="43"/>
          <w:szCs w:val="43"/>
        </w:rPr>
        <w:t>Shipping address</w:t>
      </w:r>
    </w:p>
    <w:p>
      <w:pPr>
        <w:pStyle w:val="Normal"/>
        <w:pBdr>
          <w:top w:val="single" w:sz="6" w:space="18" w:color="DDDDDD"/>
          <w:left w:val="single" w:sz="6" w:space="18" w:color="DDDDDD"/>
          <w:bottom w:val="single" w:sz="6" w:space="18" w:color="DDDDDD"/>
          <w:right w:val="single" w:sz="6" w:space="18" w:color="DDDDDD"/>
        </w:pBdr>
        <w:shd w:fill="FFFFFF" w:val="clear"/>
        <w:spacing w:lineRule="atLeast" w:line="31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br/>
      </w:r>
    </w:p>
    <w:p>
      <w:pPr>
        <w:pStyle w:val="Normal"/>
        <w:shd w:fill="FFFFFF" w:val="clear"/>
        <w:spacing w:lineRule="atLeast" w:line="312"/>
        <w:ind w:start="-270" w:end="-270" w:hanging="0"/>
        <w:rPr/>
      </w:pPr>
      <w:r>
        <w:rPr>
          <w:rStyle w:val="StrongEmphasis"/>
          <w:rFonts w:cs="Helvetica" w:ascii="Helvetica" w:hAnsi="Helvetica"/>
          <w:color w:val="333333"/>
          <w:sz w:val="25"/>
          <w:szCs w:val="25"/>
        </w:rPr>
        <w:t>Ralph J Coffman Jr</w:t>
      </w:r>
      <w:r>
        <w:rPr>
          <w:rFonts w:cs="Helvetica" w:ascii="Helvetica" w:hAnsi="Helvetica"/>
          <w:color w:val="333333"/>
          <w:sz w:val="25"/>
          <w:szCs w:val="25"/>
        </w:rPr>
        <w:br/>
      </w:r>
    </w:p>
    <w:p>
      <w:pPr>
        <w:pStyle w:val="Normal"/>
        <w:shd w:fill="FFFFFF" w:val="clear"/>
        <w:spacing w:lineRule="atLeast" w:line="31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t>149 Atlantic Ave</w:t>
      </w:r>
    </w:p>
    <w:p>
      <w:pPr>
        <w:pStyle w:val="Normal"/>
        <w:shd w:fill="FFFFFF" w:val="clear"/>
        <w:spacing w:lineRule="atLeast" w:line="31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t>Swampscott MA 01907-2427</w:t>
      </w:r>
    </w:p>
    <w:p>
      <w:pPr>
        <w:pStyle w:val="Normal"/>
        <w:shd w:fill="FFFFFF" w:val="clear"/>
        <w:spacing w:lineRule="atLeast" w:line="31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t>United States</w:t>
      </w:r>
    </w:p>
    <w:p>
      <w:pPr>
        <w:pStyle w:val="Heading2"/>
        <w:shd w:fill="FFFFFF" w:val="clear"/>
        <w:spacing w:before="0" w:after="0"/>
        <w:ind w:start="-270" w:end="-270" w:hanging="0"/>
        <w:rPr>
          <w:rFonts w:ascii="Helvetica" w:hAnsi="Helvetica" w:cs="Helvetica"/>
          <w:b w:val="false"/>
          <w:b w:val="false"/>
          <w:bCs w:val="false"/>
          <w:color w:val="333333"/>
          <w:sz w:val="43"/>
          <w:szCs w:val="43"/>
        </w:rPr>
      </w:pPr>
      <w:r>
        <w:rPr>
          <w:rFonts w:cs="Helvetica" w:ascii="Helvetica" w:hAnsi="Helvetica"/>
          <w:b w:val="false"/>
          <w:bCs w:val="false"/>
          <w:color w:val="333333"/>
          <w:sz w:val="43"/>
          <w:szCs w:val="43"/>
        </w:rPr>
        <w:t>Order total</w:t>
      </w:r>
    </w:p>
    <w:p>
      <w:pPr>
        <w:pStyle w:val="Normal"/>
        <w:shd w:fill="FFFFFF" w:val="clear"/>
        <w:spacing w:lineRule="atLeast" w:line="252"/>
        <w:ind w:start="-270" w:end="-270" w:hanging="0"/>
        <w:rPr>
          <w:rFonts w:ascii="Helvetica" w:hAnsi="Helvetica" w:cs="Helvetica"/>
          <w:b/>
          <w:b/>
          <w:bCs/>
          <w:color w:val="333333"/>
          <w:sz w:val="25"/>
          <w:szCs w:val="25"/>
        </w:rPr>
      </w:pPr>
      <w:r>
        <w:rPr>
          <w:rFonts w:cs="Helvetica" w:ascii="Helvetica" w:hAnsi="Helvetica"/>
          <w:b/>
          <w:bCs/>
          <w:color w:val="333333"/>
          <w:sz w:val="25"/>
          <w:szCs w:val="25"/>
        </w:rPr>
      </w:r>
    </w:p>
    <w:tbl>
      <w:tblPr>
        <w:tblW w:w="5904" w:type="dxa"/>
        <w:jc w:val="start"/>
        <w:tblInd w:w="-414" w:type="dxa"/>
        <w:tblBorders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2783"/>
        <w:gridCol w:w="3121"/>
      </w:tblGrid>
      <w:tr>
        <w:trPr/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Subtotal</w:t>
            </w:r>
          </w:p>
        </w:tc>
        <w:tc>
          <w:tcPr>
            <w:tcW w:w="312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25"/>
                <w:szCs w:val="25"/>
              </w:rPr>
            </w:pPr>
            <w:r>
              <w:rPr>
                <w:rStyle w:val="Ngbinding"/>
                <w:sz w:val="25"/>
                <w:szCs w:val="25"/>
              </w:rPr>
              <w:t>GBP 65.00</w:t>
            </w:r>
          </w:p>
        </w:tc>
      </w:tr>
      <w:tr>
        <w:trPr/>
        <w:tc>
          <w:tcPr>
            <w:tcW w:w="2783" w:type="dxa"/>
            <w:tcBorders>
              <w:top w:val="single" w:sz="6" w:space="0" w:color="DDDDDD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Shipping</w:t>
            </w:r>
          </w:p>
        </w:tc>
        <w:tc>
          <w:tcPr>
            <w:tcW w:w="3121" w:type="dxa"/>
            <w:tcBorders>
              <w:top w:val="single" w:sz="6" w:space="0" w:color="DDDDDD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25"/>
                <w:szCs w:val="25"/>
              </w:rPr>
            </w:pPr>
            <w:r>
              <w:rPr>
                <w:rStyle w:val="Ngbindingngscope"/>
                <w:sz w:val="25"/>
                <w:szCs w:val="25"/>
              </w:rPr>
              <w:t>GBP 9.99</w:t>
            </w:r>
          </w:p>
        </w:tc>
      </w:tr>
    </w:tbl>
    <w:p>
      <w:pPr>
        <w:pStyle w:val="Normal"/>
        <w:shd w:fill="EEEEEE" w:val="clear"/>
        <w:spacing w:lineRule="atLeast" w:line="252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b/>
          <w:bCs/>
          <w:color w:val="333333"/>
          <w:sz w:val="25"/>
          <w:szCs w:val="25"/>
        </w:rPr>
        <w:t>Total</w:t>
      </w:r>
    </w:p>
    <w:p>
      <w:pPr>
        <w:pStyle w:val="Normal"/>
        <w:shd w:fill="EEEEEE" w:val="clear"/>
        <w:spacing w:lineRule="atLeast" w:line="252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ordertotalcost"/>
          <w:rFonts w:cs="Helvetica" w:ascii="Helvetica" w:hAnsi="Helvetica"/>
          <w:color w:val="333333"/>
          <w:sz w:val="45"/>
          <w:szCs w:val="45"/>
        </w:rPr>
        <w:t>GBP 74.99</w:t>
      </w:r>
    </w:p>
    <w:p>
      <w:pPr>
        <w:pStyle w:val="Normal"/>
        <w:shd w:fill="EEEEEE" w:val="clear"/>
        <w:spacing w:lineRule="atLeast" w:line="252" w:before="180" w:after="0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67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u w:val="none"/>
            <w:shd w:fill="428BCA" w:val="clear"/>
          </w:rPr>
          <w:t>View PayPal transaction</w:t>
        </w:r>
      </w:hyperlink>
    </w:p>
    <w:p>
      <w:pPr>
        <w:pStyle w:val="Normal"/>
        <w:shd w:fill="F8F8F8" w:val="clear"/>
        <w:spacing w:lineRule="atLeast" w:line="25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br/>
      </w:r>
    </w:p>
    <w:p>
      <w:pPr>
        <w:pStyle w:val="Ngbinding1"/>
        <w:shd w:fill="F8F8F8" w:val="clear"/>
        <w:spacing w:lineRule="atLeast" w:line="324" w:before="0" w:after="0"/>
        <w:ind w:start="-270" w:end="-270" w:hanging="0"/>
        <w:rPr>
          <w:rFonts w:ascii="Helvetica" w:hAnsi="Helvetica" w:cs="Helvetica"/>
          <w:color w:val="545454"/>
          <w:sz w:val="25"/>
          <w:szCs w:val="25"/>
        </w:rPr>
      </w:pPr>
      <w:r>
        <w:rPr>
          <w:rFonts w:cs="Helvetica" w:ascii="Helvetica" w:hAnsi="Helvetica"/>
          <w:color w:val="545454"/>
          <w:sz w:val="25"/>
          <w:szCs w:val="25"/>
        </w:rPr>
        <w:t>Order placed on</w:t>
      </w:r>
    </w:p>
    <w:p>
      <w:pPr>
        <w:pStyle w:val="Normal"/>
        <w:shd w:fill="F8F8F8" w:val="clear"/>
        <w:spacing w:lineRule="atLeast" w:line="324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ngscope"/>
          <w:rFonts w:cs="Helvetica" w:ascii="Helvetica" w:hAnsi="Helvetica"/>
          <w:color w:val="333333"/>
          <w:sz w:val="25"/>
          <w:szCs w:val="25"/>
        </w:rPr>
        <w:t>Monday, May 16, 2016</w:t>
      </w:r>
    </w:p>
    <w:p>
      <w:pPr>
        <w:pStyle w:val="Ngbinding1"/>
        <w:shd w:fill="F8F8F8" w:val="clear"/>
        <w:spacing w:lineRule="atLeast" w:line="324" w:before="0" w:after="0"/>
        <w:ind w:start="-270" w:end="-270" w:hanging="0"/>
        <w:rPr>
          <w:rFonts w:ascii="Helvetica" w:hAnsi="Helvetica" w:cs="Helvetica"/>
          <w:color w:val="545454"/>
          <w:sz w:val="25"/>
          <w:szCs w:val="25"/>
        </w:rPr>
      </w:pPr>
      <w:r>
        <w:rPr>
          <w:rFonts w:cs="Helvetica" w:ascii="Helvetica" w:hAnsi="Helvetica"/>
          <w:color w:val="545454"/>
          <w:sz w:val="25"/>
          <w:szCs w:val="25"/>
        </w:rPr>
        <w:t>Payment method</w:t>
      </w:r>
    </w:p>
    <w:p>
      <w:pPr>
        <w:pStyle w:val="Normal"/>
        <w:shd w:fill="F8F8F8" w:val="clear"/>
        <w:spacing w:lineRule="atLeast" w:line="324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ngscope"/>
          <w:rFonts w:cs="Helvetica" w:ascii="Helvetica" w:hAnsi="Helvetica"/>
          <w:color w:val="333333"/>
          <w:sz w:val="25"/>
          <w:szCs w:val="25"/>
        </w:rPr>
        <w:t>PayPal</w:t>
      </w:r>
    </w:p>
    <w:p>
      <w:pPr>
        <w:pStyle w:val="Ngbinding1"/>
        <w:shd w:fill="F8F8F8" w:val="clear"/>
        <w:spacing w:lineRule="atLeast" w:line="324" w:before="0" w:after="0"/>
        <w:ind w:start="-270" w:end="-270" w:hanging="0"/>
        <w:rPr>
          <w:rFonts w:ascii="Helvetica" w:hAnsi="Helvetica" w:cs="Helvetica"/>
          <w:color w:val="545454"/>
          <w:sz w:val="25"/>
          <w:szCs w:val="25"/>
        </w:rPr>
      </w:pPr>
      <w:r>
        <w:rPr>
          <w:rFonts w:cs="Helvetica" w:ascii="Helvetica" w:hAnsi="Helvetica"/>
          <w:color w:val="545454"/>
          <w:sz w:val="25"/>
          <w:szCs w:val="25"/>
        </w:rPr>
        <w:t>Payment date</w:t>
      </w:r>
    </w:p>
    <w:p>
      <w:pPr>
        <w:pStyle w:val="Normal"/>
        <w:shd w:fill="F8F8F8" w:val="clear"/>
        <w:spacing w:lineRule="atLeast" w:line="324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ngscope"/>
          <w:rFonts w:cs="Helvetica" w:ascii="Helvetica" w:hAnsi="Helvetica"/>
          <w:color w:val="333333"/>
          <w:sz w:val="25"/>
          <w:szCs w:val="25"/>
        </w:rPr>
        <w:t>Monday, May 16, 2016</w:t>
      </w:r>
    </w:p>
    <w:p>
      <w:pPr>
        <w:pStyle w:val="Normal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character" w:styleId="VisitedInternetLink">
    <w:name w:val="Visited Internet Link"/>
    <w:rPr>
      <w:color w:val="954F72"/>
      <w:u w:val="single"/>
    </w:rPr>
  </w:style>
  <w:style w:type="character" w:styleId="Heading2Char">
    <w:name w:val="Heading 2 Char"/>
    <w:qFormat/>
    <w:rPr>
      <w:b/>
      <w:bCs/>
      <w:sz w:val="36"/>
      <w:szCs w:val="36"/>
    </w:rPr>
  </w:style>
  <w:style w:type="character" w:styleId="Tocnumber">
    <w:name w:val="tocnumber"/>
    <w:qFormat/>
    <w:rPr/>
  </w:style>
  <w:style w:type="character" w:styleId="Toctext">
    <w:name w:val="toctext"/>
    <w:qFormat/>
    <w:rPr/>
  </w:style>
  <w:style w:type="character" w:styleId="Mwheadline">
    <w:name w:val="mw-headline"/>
    <w:qFormat/>
    <w:rPr/>
  </w:style>
  <w:style w:type="character" w:styleId="Plainlinks">
    <w:name w:val="plainlinks"/>
    <w:qFormat/>
    <w:rPr/>
  </w:style>
  <w:style w:type="character" w:styleId="Geodec">
    <w:name w:val="geo-dec"/>
    <w:qFormat/>
    <w:rPr/>
  </w:style>
  <w:style w:type="character" w:styleId="Referencetext">
    <w:name w:val="reference-text"/>
    <w:qFormat/>
    <w:rPr/>
  </w:style>
  <w:style w:type="character" w:styleId="HTMLCite">
    <w:name w:val="HTML Cit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en.wikipedia.org/wiki/Arabic_language" TargetMode="External"/><Relationship Id="rId5" Type="http://schemas.openxmlformats.org/officeDocument/2006/relationships/hyperlink" Target="https://en.wikipedia.org/wiki/Al_Hasakah" TargetMode="External"/><Relationship Id="rId6" Type="http://schemas.openxmlformats.org/officeDocument/2006/relationships/hyperlink" Target="https://en.wikipedia.org/wiki/Syria" TargetMode="External"/><Relationship Id="rId7" Type="http://schemas.openxmlformats.org/officeDocument/2006/relationships/hyperlink" Target="https://en.wikipedia.org/wiki/Turkey" TargetMode="External"/><Relationship Id="rId8" Type="http://schemas.openxmlformats.org/officeDocument/2006/relationships/hyperlink" Target="https://en.wikipedia.org/wiki/Ceylanp&#305;nar" TargetMode="External"/><Relationship Id="rId9" Type="http://schemas.openxmlformats.org/officeDocument/2006/relationships/hyperlink" Target="https://en.wikipedia.org/wiki/Neolithic" TargetMode="External"/><Relationship Id="rId10" Type="http://schemas.openxmlformats.org/officeDocument/2006/relationships/hyperlink" Target="https://en.wikipedia.org/wiki/Halaf_culture" TargetMode="External"/><Relationship Id="rId11" Type="http://schemas.openxmlformats.org/officeDocument/2006/relationships/hyperlink" Target="https://en.wikipedia.org/wiki/Hittites" TargetMode="External"/><Relationship Id="rId12" Type="http://schemas.openxmlformats.org/officeDocument/2006/relationships/hyperlink" Target="https://en.wikipedia.org/wiki/Aramaean" TargetMode="External"/><Relationship Id="rId13" Type="http://schemas.openxmlformats.org/officeDocument/2006/relationships/hyperlink" Target="https://en.wikipedia.org/wiki/Assyrian_Empire" TargetMode="External"/><Relationship Id="rId14" Type="http://schemas.openxmlformats.org/officeDocument/2006/relationships/hyperlink" Target="https://en.wikipedia.org/wiki/Prehistoric" TargetMode="External"/><Relationship Id="rId15" Type="http://schemas.openxmlformats.org/officeDocument/2006/relationships/hyperlink" Target="https://en.wikipedia.org/wiki/Turkey" TargetMode="External"/><Relationship Id="rId16" Type="http://schemas.openxmlformats.org/officeDocument/2006/relationships/hyperlink" Target="https://en.wikipedia.org/wiki/Syria" TargetMode="External"/><Relationship Id="rId17" Type="http://schemas.openxmlformats.org/officeDocument/2006/relationships/hyperlink" Target="https://en.wikipedia.org/wiki/Iraq" TargetMode="External"/><Relationship Id="rId18" Type="http://schemas.openxmlformats.org/officeDocument/2006/relationships/hyperlink" Target="https://en.wikipedia.org/wiki/Mesopotamia" TargetMode="External"/><Relationship Id="rId19" Type="http://schemas.openxmlformats.org/officeDocument/2006/relationships/hyperlink" Target="https://en.wikipedia.org/wiki/Tell_Halaf" TargetMode="External"/><Relationship Id="rId20" Type="http://schemas.openxmlformats.org/officeDocument/2006/relationships/hyperlink" Target="https://en.wikipedia.org/wiki/Syria" TargetMode="External"/><Relationship Id="rId21" Type="http://schemas.openxmlformats.org/officeDocument/2006/relationships/hyperlink" Target="https://en.wikipedia.org/wiki/Max_von_Oppenheim" TargetMode="External"/><Relationship Id="rId22" Type="http://schemas.openxmlformats.org/officeDocument/2006/relationships/hyperlink" Target="https://en.wikipedia.org/wiki/John_Garstang" TargetMode="External"/><Relationship Id="rId23" Type="http://schemas.openxmlformats.org/officeDocument/2006/relationships/hyperlink" Target="https://en.wikipedia.org/wiki/Sakce_G&#246;z&#252;" TargetMode="External"/><Relationship Id="rId24" Type="http://schemas.openxmlformats.org/officeDocument/2006/relationships/hyperlink" Target="https://en.wikipedia.org/wiki/Leonard_Woolley" TargetMode="External"/><Relationship Id="rId25" Type="http://schemas.openxmlformats.org/officeDocument/2006/relationships/hyperlink" Target="https://en.wikipedia.org/wiki/Tell_Arpachiyah" TargetMode="External"/><Relationship Id="rId26" Type="http://schemas.openxmlformats.org/officeDocument/2006/relationships/hyperlink" Target="https://en.wikipedia.org/wiki/Mosul" TargetMode="External"/><Relationship Id="rId27" Type="http://schemas.openxmlformats.org/officeDocument/2006/relationships/hyperlink" Target="https://en.wikipedia.org/wiki/Iraq" TargetMode="External"/><Relationship Id="rId28" Type="http://schemas.openxmlformats.org/officeDocument/2006/relationships/hyperlink" Target="https://en.wikipedia.org/wiki/Halaf-Ubaid_Transitional_period" TargetMode="External"/><Relationship Id="rId29" Type="http://schemas.openxmlformats.org/officeDocument/2006/relationships/hyperlink" Target="https://en.wikipedia.org/wiki/Ubaid_period" TargetMode="External"/><Relationship Id="rId30" Type="http://schemas.openxmlformats.org/officeDocument/2006/relationships/image" Target="media/image3.jpeg"/><Relationship Id="rId31" Type="http://schemas.openxmlformats.org/officeDocument/2006/relationships/image" Target="media/image4.png"/><Relationship Id="rId32" Type="http://schemas.openxmlformats.org/officeDocument/2006/relationships/hyperlink" Target="https://en.wikipedia.org/wiki/Iraq" TargetMode="External"/><Relationship Id="rId33" Type="http://schemas.openxmlformats.org/officeDocument/2006/relationships/hyperlink" Target="https://en.wikipedia.org/wiki/Tell_Halaf" TargetMode="External"/><Relationship Id="rId34" Type="http://schemas.openxmlformats.org/officeDocument/2006/relationships/image" Target="media/image5.png"/><Relationship Id="rId35" Type="http://schemas.openxmlformats.org/officeDocument/2006/relationships/hyperlink" Target="https://en.wikipedia.org/wiki/Tell_Brak" TargetMode="External"/><Relationship Id="rId36" Type="http://schemas.openxmlformats.org/officeDocument/2006/relationships/image" Target="media/image6.png"/><Relationship Id="rId37" Type="http://schemas.openxmlformats.org/officeDocument/2006/relationships/hyperlink" Target="https://en.wikipedia.org/wiki/Tell_Sabi_Abyad" TargetMode="External"/><Relationship Id="rId38" Type="http://schemas.openxmlformats.org/officeDocument/2006/relationships/image" Target="media/image7.png"/><Relationship Id="rId39" Type="http://schemas.openxmlformats.org/officeDocument/2006/relationships/hyperlink" Target="https://en.wikipedia.org/wiki/Tell_Arpachiyah" TargetMode="External"/><Relationship Id="rId40" Type="http://schemas.openxmlformats.org/officeDocument/2006/relationships/image" Target="media/image8.png"/><Relationship Id="rId41" Type="http://schemas.openxmlformats.org/officeDocument/2006/relationships/hyperlink" Target="https://en.wikipedia.org/wiki/Tepe_Gawra" TargetMode="External"/><Relationship Id="rId42" Type="http://schemas.openxmlformats.org/officeDocument/2006/relationships/image" Target="media/image9.png"/><Relationship Id="rId43" Type="http://schemas.openxmlformats.org/officeDocument/2006/relationships/hyperlink" Target="https://en.wikipedia.org/wiki/Chagar_Bazar" TargetMode="External"/><Relationship Id="rId44" Type="http://schemas.openxmlformats.org/officeDocument/2006/relationships/hyperlink" Target="https://tools.wmflabs.org/geohack/geohack.php?pagename=Tell_Halaf&amp;params=36.8266_N_40.0396_E_type:landmark" TargetMode="External"/><Relationship Id="rId45" Type="http://schemas.openxmlformats.org/officeDocument/2006/relationships/hyperlink" Target="https://en.wikipedia.org/wiki/Arabic_language" TargetMode="External"/><Relationship Id="rId46" Type="http://schemas.openxmlformats.org/officeDocument/2006/relationships/hyperlink" Target="https://en.wikipedia.org/wiki/Al_Hasakah" TargetMode="External"/><Relationship Id="rId47" Type="http://schemas.openxmlformats.org/officeDocument/2006/relationships/hyperlink" Target="https://en.wikipedia.org/wiki/Syria" TargetMode="External"/><Relationship Id="rId48" Type="http://schemas.openxmlformats.org/officeDocument/2006/relationships/hyperlink" Target="https://en.wikipedia.org/wiki/Turkey" TargetMode="External"/><Relationship Id="rId49" Type="http://schemas.openxmlformats.org/officeDocument/2006/relationships/hyperlink" Target="https://en.wikipedia.org/wiki/Ceylanp&#305;nar" TargetMode="External"/><Relationship Id="rId50" Type="http://schemas.openxmlformats.org/officeDocument/2006/relationships/hyperlink" Target="https://en.wikipedia.org/wiki/Neolithic" TargetMode="External"/><Relationship Id="rId51" Type="http://schemas.openxmlformats.org/officeDocument/2006/relationships/hyperlink" Target="https://en.wikipedia.org/wiki/Halaf_culture" TargetMode="External"/><Relationship Id="rId52" Type="http://schemas.openxmlformats.org/officeDocument/2006/relationships/hyperlink" Target="https://en.wikipedia.org/wiki/Hittites" TargetMode="External"/><Relationship Id="rId53" Type="http://schemas.openxmlformats.org/officeDocument/2006/relationships/hyperlink" Target="https://en.wikipedia.org/wiki/Aramaean" TargetMode="External"/><Relationship Id="rId54" Type="http://schemas.openxmlformats.org/officeDocument/2006/relationships/hyperlink" Target="https://en.wikipedia.org/wiki/Assyrian_Empire" TargetMode="External"/><Relationship Id="rId55" Type="http://schemas.openxmlformats.org/officeDocument/2006/relationships/hyperlink" Target="https://en.wikipedia.org/wiki/Neolithic" TargetMode="External"/><Relationship Id="rId56" Type="http://schemas.openxmlformats.org/officeDocument/2006/relationships/hyperlink" Target="https://en.wikipedia.org/wiki/Balikh" TargetMode="External"/><Relationship Id="rId57" Type="http://schemas.openxmlformats.org/officeDocument/2006/relationships/hyperlink" Target="https://en.wikipedia.org/wiki/Tell_Sabi_Abyad" TargetMode="External"/><Relationship Id="rId58" Type="http://schemas.openxmlformats.org/officeDocument/2006/relationships/hyperlink" Target="https://en.wikipedia.org/wiki/Cambridge_University_Press" TargetMode="External"/><Relationship Id="rId59" Type="http://schemas.openxmlformats.org/officeDocument/2006/relationships/hyperlink" Target="https://en.wikipedia.org/wiki/Routledge" TargetMode="External"/><Relationship Id="rId60" Type="http://schemas.openxmlformats.org/officeDocument/2006/relationships/hyperlink" Target="https://www.academia.edu/564231/Old_and_New_Perspectives_on_the_Origins_of_the_Halaf_Culture" TargetMode="External"/><Relationship Id="rId61" Type="http://schemas.openxmlformats.org/officeDocument/2006/relationships/hyperlink" Target="http://myworld.ebay.com/coinauction12" TargetMode="External"/><Relationship Id="rId62" Type="http://schemas.openxmlformats.org/officeDocument/2006/relationships/hyperlink" Target="http://feedback.ebay.com/ws/eBayISAPI.dll?ViewFeedback&amp;userid=coinauction12" TargetMode="External"/><Relationship Id="rId63" Type="http://schemas.openxmlformats.org/officeDocument/2006/relationships/image" Target="media/image10.jpeg"/><Relationship Id="rId64" Type="http://schemas.openxmlformats.org/officeDocument/2006/relationships/hyperlink" Target="http://www.ebay.com/itm/391452373433" TargetMode="External"/><Relationship Id="rId65" Type="http://schemas.openxmlformats.org/officeDocument/2006/relationships/hyperlink" Target="http://contact.ebay.com/ws/eBayISAPI.dll?FindAnswers&amp;frm=3998&amp;iid=391452373433&amp;redirect=0&amp;requested=coinauction12" TargetMode="External"/><Relationship Id="rId66" Type="http://schemas.openxmlformats.org/officeDocument/2006/relationships/hyperlink" Target="http://return.ebay.com/ws/eBayISAPI.dll?ResolveReturn&amp;eventName=viewSelectedItem&amp;TransactionId=0&amp;ItemId=391452373433" TargetMode="External"/><Relationship Id="rId67" Type="http://schemas.openxmlformats.org/officeDocument/2006/relationships/hyperlink" Target="http://payments.ebay.com/ws/eBayISAPI.dll?UnifiedCheckoutSummaryRedirect2PP&amp;itemid=391452373433&amp;transId=0&amp;buyerorseller=0" TargetMode="Externa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2018-04-30T09:11:00Z</dcterms:created>
  <dc:creator>owner</dc:creator>
  <dc:description/>
  <cp:keywords/>
  <dc:language>en-US</dc:language>
  <cp:lastModifiedBy>murcott</cp:lastModifiedBy>
  <dcterms:modified xsi:type="dcterms:W3CDTF">2018-04-30T09:39:00Z</dcterms:modified>
  <cp:revision>3</cp:revision>
  <dc:subject/>
  <dc:title>DIS-ME-Syria-Tel Halaf</dc:title>
</cp:coreProperties>
</file>