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03" w:rsidRPr="00314E7F" w:rsidRDefault="00056503" w:rsidP="00314E7F">
      <w:bookmarkStart w:id="0" w:name="_GoBack"/>
      <w:r w:rsidRPr="00314E7F">
        <w:t>Case 2-A181-ME-Judea Pillar Figurine-Open Skull-Iron Age II-1000-550 BCE</w:t>
      </w:r>
    </w:p>
    <w:bookmarkEnd w:id="0"/>
    <w:p w:rsidR="00056503" w:rsidRDefault="00056503" w:rsidP="00056503">
      <w:r>
        <w:fldChar w:fldCharType="begin"/>
      </w:r>
      <w:r>
        <w:instrText xml:space="preserve"> INCLUDEPICTURE "../../../../DOCUME~1/ADMINI~1/LOCALS~1/Temp/scl1.jpg"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6pt;height:264.6pt;flip:x">
            <v:imagedata r:id="rId4" r:href="rId5"/>
          </v:shape>
        </w:pict>
      </w:r>
      <w:r>
        <w:fldChar w:fldCharType="end"/>
      </w:r>
      <w:r>
        <w:t xml:space="preserve"> </w:t>
      </w:r>
      <w:r>
        <w:pict>
          <v:shape id="_x0000_i1026" type="#_x0000_t75" style="width:162pt;height:266.4pt;flip:x">
            <v:imagedata r:id="rId6" r:href="rId7"/>
          </v:shape>
        </w:pict>
      </w:r>
      <w:r>
        <w:t xml:space="preserve"> </w:t>
      </w:r>
      <w:r>
        <w:pict>
          <v:shape id="_x0000_i1027" type="#_x0000_t75" style="width:135.6pt;height:267.6pt;flip:x">
            <v:imagedata r:id="rId8" r:href="rId9"/>
          </v:shape>
        </w:pict>
      </w:r>
    </w:p>
    <w:p w:rsidR="00056503" w:rsidRDefault="00056503" w:rsidP="00056503">
      <w:r>
        <w:pict>
          <v:shape id="_x0000_i1031" type="#_x0000_t75" style="width:124.2pt;height:142.8pt">
            <v:imagedata r:id="rId10" r:href="rId11"/>
          </v:shape>
        </w:pict>
      </w:r>
      <w:r>
        <w:t xml:space="preserve"> </w:t>
      </w:r>
    </w:p>
    <w:p w:rsidR="00056503" w:rsidRDefault="00056503" w:rsidP="00056503">
      <w:pPr>
        <w:rPr>
          <w:rStyle w:val="Strong"/>
        </w:rPr>
      </w:pPr>
      <w:r>
        <w:rPr>
          <w:rStyle w:val="Strong"/>
        </w:rPr>
        <w:t xml:space="preserve">Case No.: </w:t>
      </w:r>
      <w:r>
        <w:rPr>
          <w:rStyle w:val="Strong"/>
        </w:rPr>
        <w:t>2</w:t>
      </w:r>
    </w:p>
    <w:p w:rsidR="00056503" w:rsidRDefault="00056503" w:rsidP="00056503">
      <w:pPr>
        <w:rPr>
          <w:rStyle w:val="Strong"/>
        </w:rPr>
      </w:pPr>
      <w:r>
        <w:rPr>
          <w:rStyle w:val="Strong"/>
        </w:rPr>
        <w:t xml:space="preserve">Accession Number: </w:t>
      </w:r>
      <w:r>
        <w:rPr>
          <w:rStyle w:val="Strong"/>
        </w:rPr>
        <w:t>A181</w:t>
      </w:r>
    </w:p>
    <w:p w:rsidR="00056503" w:rsidRPr="00056503" w:rsidRDefault="00056503" w:rsidP="00056503">
      <w:pPr>
        <w:rPr>
          <w:rStyle w:val="Strong"/>
          <w:rFonts w:ascii="Arial" w:hAnsi="Arial" w:cs="Arial"/>
          <w:b w:val="0"/>
          <w:bCs w:val="0"/>
          <w:color w:val="545454"/>
          <w:shd w:val="clear" w:color="auto" w:fill="FFFFFF"/>
        </w:rPr>
      </w:pPr>
      <w:r>
        <w:rPr>
          <w:rStyle w:val="Strong"/>
        </w:rPr>
        <w:t>Formal Label:</w:t>
      </w:r>
      <w:r>
        <w:rPr>
          <w:rStyle w:val="Strong"/>
        </w:rPr>
        <w:t xml:space="preserve"> </w:t>
      </w:r>
      <w:r w:rsidR="00314E7F" w:rsidRPr="00314E7F">
        <w:t>ME-Judea Pillar Figurine-Open Skull-Iron Age II-1000-550 BCE</w:t>
      </w:r>
    </w:p>
    <w:p w:rsidR="00056503" w:rsidRDefault="00056503" w:rsidP="00314E7F">
      <w:pPr>
        <w:spacing w:after="0"/>
        <w:rPr>
          <w:b/>
        </w:rPr>
      </w:pPr>
      <w:r>
        <w:rPr>
          <w:b/>
        </w:rPr>
        <w:t>Display Description:</w:t>
      </w:r>
      <w:r w:rsidR="00827C0B">
        <w:rPr>
          <w:b/>
        </w:rPr>
        <w:t xml:space="preserve"> After Greener 2018.</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Thousands of terra-cotta figurines dating to the Iron Age II (First Temple Period) have been found </w:t>
      </w:r>
      <w:proofErr w:type="gramStart"/>
      <w:r>
        <w:rPr>
          <w:rFonts w:ascii="Georgia" w:hAnsi="Georgia" w:cs="Arial"/>
          <w:color w:val="000000"/>
          <w:sz w:val="23"/>
          <w:szCs w:val="23"/>
          <w:bdr w:val="none" w:sz="0" w:space="0" w:color="auto" w:frame="1"/>
        </w:rPr>
        <w:t>at  archaeological</w:t>
      </w:r>
      <w:proofErr w:type="gramEnd"/>
      <w:r>
        <w:rPr>
          <w:rFonts w:ascii="Georgia" w:hAnsi="Georgia" w:cs="Arial"/>
          <w:color w:val="000000"/>
          <w:sz w:val="23"/>
          <w:szCs w:val="23"/>
          <w:bdr w:val="none" w:sz="0" w:space="0" w:color="auto" w:frame="1"/>
        </w:rPr>
        <w:t xml:space="preserve"> sites located in the biblical Kingdom of Judah, including Jerusalem.</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The figurines fall into two main categories: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Human Figurines – </w:t>
      </w:r>
      <w:r>
        <w:rPr>
          <w:rFonts w:ascii="Georgia" w:hAnsi="Georgia" w:cs="Arial"/>
          <w:color w:val="000000"/>
          <w:sz w:val="23"/>
          <w:szCs w:val="23"/>
          <w:bdr w:val="none" w:sz="0" w:space="0" w:color="auto" w:frame="1"/>
        </w:rPr>
        <w:t xml:space="preserve">Female </w:t>
      </w:r>
      <w:proofErr w:type="spellStart"/>
      <w:r>
        <w:rPr>
          <w:rFonts w:ascii="Georgia" w:hAnsi="Georgia" w:cs="Arial"/>
          <w:color w:val="000000"/>
          <w:sz w:val="23"/>
          <w:szCs w:val="23"/>
          <w:bdr w:val="none" w:sz="0" w:space="0" w:color="auto" w:frame="1"/>
        </w:rPr>
        <w:t>Judahite</w:t>
      </w:r>
      <w:proofErr w:type="spellEnd"/>
      <w:r>
        <w:rPr>
          <w:rFonts w:ascii="Georgia" w:hAnsi="Georgia" w:cs="Arial"/>
          <w:color w:val="000000"/>
          <w:sz w:val="23"/>
          <w:szCs w:val="23"/>
          <w:bdr w:val="none" w:sz="0" w:space="0" w:color="auto" w:frame="1"/>
        </w:rPr>
        <w:t xml:space="preserve"> Pillar Figurines (JPF’s) form the vast majority among anthropomorphic figurines. These stand ca. 6 inches tall (with either pinched or less common mold-made heads) and are often clutching their breasts. Male figurines, other than the horse riders (below) were rare in Judah.</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lastRenderedPageBreak/>
        <w:t>Animal Figurines – </w:t>
      </w:r>
      <w:r>
        <w:rPr>
          <w:rFonts w:ascii="Georgia" w:hAnsi="Georgia" w:cs="Arial"/>
          <w:color w:val="000000"/>
          <w:sz w:val="23"/>
          <w:szCs w:val="23"/>
          <w:bdr w:val="none" w:sz="0" w:space="0" w:color="auto" w:frame="1"/>
        </w:rPr>
        <w:t>The more abundant group are the zoomorphic (or animal) figurines; most of these are horses, some with riders on their backs.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Figurines were popular among Judah’s neighboring nations as well (such as the Israelites, Philistines, and Phoenicians). The figurines in each region, including Judah, had some unique stylistic motifs and attributes, though cross-cultural influences were also common. Since all the figurines were individually manufactured (the only part made in a mold were some of the heads), each is unique in form and size, although the common figurines are very schematic and stereotyped. They seem to have been common mostly in domestic contexts, i.e., in people’s homes. Their production and use seem to have stopped after the Babylonian conquest and destruction of the Kingdom of Judah in 586 BCE.</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In all excavations in biblical Judah the quantity of the zoomorphic figurines is greater than that of the anthropomorphic ones, nevertheless, the latter have traditionally received more attention. Their identity and function are the focus of ongoing debates in archaeology and biblical studies.</w:t>
      </w:r>
    </w:p>
    <w:p w:rsidR="00827C0B" w:rsidRPr="00314E7F" w:rsidRDefault="00827C0B" w:rsidP="00314E7F">
      <w:r w:rsidRPr="00314E7F">
        <w:rPr>
          <w:b/>
        </w:rPr>
        <w:t>Interpretations of the Figurines’ Identity,</w:t>
      </w:r>
      <w:r w:rsidR="00314E7F" w:rsidRPr="00314E7F">
        <w:rPr>
          <w:b/>
        </w:rPr>
        <w:t xml:space="preserve"> </w:t>
      </w:r>
      <w:r w:rsidRPr="00314E7F">
        <w:rPr>
          <w:b/>
        </w:rPr>
        <w:t>Function and Symbolism</w:t>
      </w:r>
      <w:r w:rsidR="00314E7F">
        <w:t xml:space="preserve">. </w:t>
      </w:r>
      <w:r>
        <w:rPr>
          <w:rFonts w:ascii="Georgia" w:hAnsi="Georgia" w:cs="Arial"/>
          <w:color w:val="000000"/>
          <w:sz w:val="23"/>
          <w:szCs w:val="23"/>
          <w:bdr w:val="none" w:sz="0" w:space="0" w:color="auto" w:frame="1"/>
        </w:rPr>
        <w:t>Since textual sources that relate directly to the issue of household cultic practices in the Iron Age Levant are rare, and direct mention of terra cotta figurines remains ambiguous (see below), the study of this sphere must rely heavily on the archaeological record. The figurines are almost always found broken and discovered in secondary contexts—in refuse or fill contexts (i.e., not in their original place of use).  They contain no distinguishing marks – of individual, mortal, divine identity, age, or status – which might assist in identification and interpretation. For these reasons, their interpretation is debated.</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Numerous scholars have offered their thoughts on these figurines. The typical questions raised in the discussions have largely centered on who the figurines might have represented and how they might have been used: Are they depictions of a female deity such as Astarte or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Do they depict a human female? Were they used as </w:t>
      </w:r>
      <w:proofErr w:type="spellStart"/>
      <w:r>
        <w:rPr>
          <w:rFonts w:ascii="Georgia" w:hAnsi="Georgia" w:cs="Arial"/>
          <w:color w:val="000000"/>
          <w:sz w:val="23"/>
          <w:szCs w:val="23"/>
          <w:bdr w:val="none" w:sz="0" w:space="0" w:color="auto" w:frame="1"/>
        </w:rPr>
        <w:t>votives</w:t>
      </w:r>
      <w:proofErr w:type="spellEnd"/>
      <w:r>
        <w:rPr>
          <w:rFonts w:ascii="Georgia" w:hAnsi="Georgia" w:cs="Arial"/>
          <w:color w:val="000000"/>
          <w:sz w:val="23"/>
          <w:szCs w:val="23"/>
          <w:bdr w:val="none" w:sz="0" w:space="0" w:color="auto" w:frame="1"/>
        </w:rPr>
        <w:t>, fertility charms, toys for children, or even something else?</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sidRPr="00314E7F">
        <w:rPr>
          <w:b/>
        </w:rPr>
        <w:t>Identity</w:t>
      </w:r>
      <w:r w:rsidR="00314E7F" w:rsidRPr="00314E7F">
        <w:rPr>
          <w:b/>
        </w:rPr>
        <w:t>.</w:t>
      </w:r>
      <w:r w:rsidR="00314E7F">
        <w:rPr>
          <w:rFonts w:ascii="Georgia" w:hAnsi="Georgia" w:cs="Arial"/>
          <w:b/>
          <w:bCs/>
          <w:color w:val="000000"/>
          <w:sz w:val="23"/>
          <w:szCs w:val="23"/>
          <w:bdr w:val="none" w:sz="0" w:space="0" w:color="auto" w:frame="1"/>
        </w:rPr>
        <w:t xml:space="preserve"> </w:t>
      </w:r>
      <w:r>
        <w:rPr>
          <w:rFonts w:ascii="Georgia" w:hAnsi="Georgia" w:cs="Arial"/>
          <w:color w:val="000000"/>
          <w:sz w:val="23"/>
          <w:szCs w:val="23"/>
          <w:bdr w:val="none" w:sz="0" w:space="0" w:color="auto" w:frame="1"/>
        </w:rPr>
        <w:t xml:space="preserve">In the 1930s, prominent scholar William </w:t>
      </w:r>
      <w:proofErr w:type="spellStart"/>
      <w:r>
        <w:rPr>
          <w:rFonts w:ascii="Georgia" w:hAnsi="Georgia" w:cs="Arial"/>
          <w:color w:val="000000"/>
          <w:sz w:val="23"/>
          <w:szCs w:val="23"/>
          <w:bdr w:val="none" w:sz="0" w:space="0" w:color="auto" w:frame="1"/>
        </w:rPr>
        <w:t>Foxwell</w:t>
      </w:r>
      <w:proofErr w:type="spellEnd"/>
      <w:r>
        <w:rPr>
          <w:rFonts w:ascii="Georgia" w:hAnsi="Georgia" w:cs="Arial"/>
          <w:color w:val="000000"/>
          <w:sz w:val="23"/>
          <w:szCs w:val="23"/>
          <w:bdr w:val="none" w:sz="0" w:space="0" w:color="auto" w:frame="1"/>
        </w:rPr>
        <w:t xml:space="preserve"> Albright identified the female figurines with the Canaanite goddess Astarte (Hebrew </w:t>
      </w:r>
      <w:proofErr w:type="spellStart"/>
      <w:r>
        <w:rPr>
          <w:rStyle w:val="Emphasis"/>
          <w:rFonts w:ascii="inherit" w:hAnsi="inherit" w:cs="Arial"/>
          <w:color w:val="000000"/>
          <w:sz w:val="23"/>
          <w:szCs w:val="23"/>
          <w:bdr w:val="none" w:sz="0" w:space="0" w:color="auto" w:frame="1"/>
        </w:rPr>
        <w:t>ʻAštōreṯ</w:t>
      </w:r>
      <w:proofErr w:type="spellEnd"/>
      <w:r>
        <w:rPr>
          <w:rStyle w:val="Emphasis"/>
          <w:rFonts w:ascii="inherit" w:hAnsi="inherit" w:cs="Arial"/>
          <w:color w:val="000000"/>
          <w:sz w:val="23"/>
          <w:szCs w:val="23"/>
          <w:bdr w:val="none" w:sz="0" w:space="0" w:color="auto" w:frame="1"/>
        </w:rPr>
        <w:t>)</w:t>
      </w:r>
      <w:r>
        <w:rPr>
          <w:rFonts w:ascii="Georgia" w:hAnsi="Georgia" w:cs="Arial"/>
          <w:color w:val="000000"/>
          <w:sz w:val="23"/>
          <w:szCs w:val="23"/>
          <w:bdr w:val="none" w:sz="0" w:space="0" w:color="auto" w:frame="1"/>
        </w:rPr>
        <w:t>. She was a foreign, non-</w:t>
      </w:r>
      <w:proofErr w:type="spellStart"/>
      <w:r>
        <w:rPr>
          <w:rFonts w:ascii="Georgia" w:hAnsi="Georgia" w:cs="Arial"/>
          <w:color w:val="000000"/>
          <w:sz w:val="23"/>
          <w:szCs w:val="23"/>
          <w:bdr w:val="none" w:sz="0" w:space="0" w:color="auto" w:frame="1"/>
        </w:rPr>
        <w:t>Judahite</w:t>
      </w:r>
      <w:proofErr w:type="spellEnd"/>
      <w:r>
        <w:rPr>
          <w:rFonts w:ascii="Georgia" w:hAnsi="Georgia" w:cs="Arial"/>
          <w:color w:val="000000"/>
          <w:sz w:val="23"/>
          <w:szCs w:val="23"/>
          <w:bdr w:val="none" w:sz="0" w:space="0" w:color="auto" w:frame="1"/>
        </w:rPr>
        <w:t xml:space="preserve"> goddess of </w:t>
      </w:r>
      <w:r w:rsidRPr="00314E7F">
        <w:rPr>
          <w:rFonts w:ascii="inherit" w:hAnsi="inherit" w:cs="Arial"/>
          <w:color w:val="000000"/>
          <w:sz w:val="23"/>
          <w:szCs w:val="23"/>
          <w:bdr w:val="none" w:sz="0" w:space="0" w:color="auto" w:frame="1"/>
        </w:rPr>
        <w:t>fertility</w:t>
      </w:r>
      <w:r>
        <w:rPr>
          <w:rFonts w:ascii="Georgia" w:hAnsi="Georgia" w:cs="Arial"/>
          <w:color w:val="000000"/>
          <w:sz w:val="23"/>
          <w:szCs w:val="23"/>
          <w:bdr w:val="none" w:sz="0" w:space="0" w:color="auto" w:frame="1"/>
        </w:rPr>
        <w:t>, </w:t>
      </w:r>
      <w:r w:rsidRPr="00314E7F">
        <w:rPr>
          <w:rFonts w:ascii="inherit" w:hAnsi="inherit" w:cs="Arial"/>
          <w:color w:val="000000"/>
          <w:sz w:val="23"/>
          <w:szCs w:val="23"/>
          <w:bdr w:val="none" w:sz="0" w:space="0" w:color="auto" w:frame="1"/>
        </w:rPr>
        <w:t>sexuality</w:t>
      </w:r>
      <w:r>
        <w:rPr>
          <w:rFonts w:ascii="Georgia" w:hAnsi="Georgia" w:cs="Arial"/>
          <w:color w:val="000000"/>
          <w:sz w:val="23"/>
          <w:szCs w:val="23"/>
          <w:bdr w:val="none" w:sz="0" w:space="0" w:color="auto" w:frame="1"/>
        </w:rPr>
        <w:t>, and </w:t>
      </w:r>
      <w:r w:rsidRPr="00314E7F">
        <w:rPr>
          <w:rFonts w:ascii="inherit" w:hAnsi="inherit" w:cs="Arial"/>
          <w:color w:val="000000"/>
          <w:sz w:val="23"/>
          <w:szCs w:val="23"/>
          <w:bdr w:val="none" w:sz="0" w:space="0" w:color="auto" w:frame="1"/>
        </w:rPr>
        <w:t>war</w:t>
      </w:r>
      <w:r>
        <w:rPr>
          <w:rFonts w:ascii="Georgia" w:hAnsi="Georgia" w:cs="Arial"/>
          <w:color w:val="000000"/>
          <w:sz w:val="23"/>
          <w:szCs w:val="23"/>
          <w:bdr w:val="none" w:sz="0" w:space="0" w:color="auto" w:frame="1"/>
        </w:rPr>
        <w:t> adopted from the Phoenicians. This identification remained popular for several decades.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 xml:space="preserve">More recently, however, scholars have turned their attention to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(probably perceived as YHWH’s consort in biblical times), given her prominent position within the Yahwistic cult</w:t>
      </w:r>
      <w:r w:rsidR="00314E7F">
        <w:rPr>
          <w:rFonts w:ascii="Georgia" w:hAnsi="Georgia" w:cs="Arial"/>
          <w:color w:val="000000"/>
          <w:sz w:val="23"/>
          <w:szCs w:val="23"/>
          <w:bdr w:val="none" w:sz="0" w:space="0" w:color="auto" w:frame="1"/>
        </w:rPr>
        <w:t>.</w:t>
      </w:r>
      <w:r w:rsidR="00314E7F">
        <w:rPr>
          <w:rFonts w:ascii="inherit" w:hAnsi="inherit" w:cs="Arial"/>
          <w:color w:val="000000"/>
          <w:sz w:val="20"/>
          <w:szCs w:val="20"/>
          <w:bdr w:val="none" w:sz="0" w:space="0" w:color="auto" w:frame="1"/>
          <w:vertAlign w:val="superscript"/>
        </w:rPr>
        <w:t xml:space="preserve"> </w:t>
      </w:r>
      <w:r>
        <w:rPr>
          <w:rFonts w:ascii="Georgia" w:hAnsi="Georgia" w:cs="Arial"/>
          <w:color w:val="000000"/>
          <w:sz w:val="23"/>
          <w:szCs w:val="23"/>
          <w:bdr w:val="none" w:sz="0" w:space="0" w:color="auto" w:frame="1"/>
        </w:rPr>
        <w:t xml:space="preserve"> The distribution of an inexpensive icon that incorporates </w:t>
      </w:r>
      <w:proofErr w:type="spellStart"/>
      <w:r>
        <w:rPr>
          <w:rFonts w:ascii="Georgia" w:hAnsi="Georgia" w:cs="Arial"/>
          <w:color w:val="000000"/>
          <w:sz w:val="23"/>
          <w:szCs w:val="23"/>
          <w:bdr w:val="none" w:sz="0" w:space="0" w:color="auto" w:frame="1"/>
        </w:rPr>
        <w:t>Asherah’s</w:t>
      </w:r>
      <w:proofErr w:type="spellEnd"/>
      <w:r>
        <w:rPr>
          <w:rFonts w:ascii="Georgia" w:hAnsi="Georgia" w:cs="Arial"/>
          <w:color w:val="000000"/>
          <w:sz w:val="23"/>
          <w:szCs w:val="23"/>
          <w:bdr w:val="none" w:sz="0" w:space="0" w:color="auto" w:frame="1"/>
        </w:rPr>
        <w:t xml:space="preserve"> trademark tree image seems plausible.</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t>Yet another group of scholars believe that the figurines do not represent a specific goddess, but rather mortal women (in a generic form) which were used as votive figurines, presented to the gods or goddesses.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sidRPr="00314E7F">
        <w:rPr>
          <w:b/>
        </w:rPr>
        <w:t>Function and Symbolism</w:t>
      </w:r>
      <w:r w:rsidR="00314E7F">
        <w:rPr>
          <w:rStyle w:val="Strong"/>
          <w:rFonts w:ascii="Helvetica" w:hAnsi="Helvetica" w:cs="Helvetica"/>
          <w:color w:val="000000"/>
          <w:sz w:val="28"/>
          <w:szCs w:val="28"/>
          <w:bdr w:val="none" w:sz="0" w:space="0" w:color="auto" w:frame="1"/>
        </w:rPr>
        <w:t xml:space="preserve">. </w:t>
      </w:r>
      <w:r>
        <w:rPr>
          <w:rFonts w:ascii="Georgia" w:hAnsi="Georgia" w:cs="Arial"/>
          <w:color w:val="000000"/>
          <w:sz w:val="23"/>
          <w:szCs w:val="23"/>
          <w:bdr w:val="none" w:sz="0" w:space="0" w:color="auto" w:frame="1"/>
        </w:rPr>
        <w:t>Many different theories have been suggested over the years regarding the function and symbolism of JPFs.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Fertility – </w:t>
      </w:r>
      <w:r>
        <w:rPr>
          <w:rFonts w:ascii="Georgia" w:hAnsi="Georgia" w:cs="Arial"/>
          <w:color w:val="000000"/>
          <w:sz w:val="23"/>
          <w:szCs w:val="23"/>
          <w:bdr w:val="none" w:sz="0" w:space="0" w:color="auto" w:frame="1"/>
        </w:rPr>
        <w:t>Some scholars have related them to female domestic ritual practices bestowing plenty and fertility on the household.</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Apotropaic</w:t>
      </w:r>
      <w:r>
        <w:rPr>
          <w:rFonts w:ascii="Georgia" w:hAnsi="Georgia" w:cs="Arial"/>
          <w:color w:val="000000"/>
          <w:sz w:val="23"/>
          <w:szCs w:val="23"/>
          <w:bdr w:val="none" w:sz="0" w:space="0" w:color="auto" w:frame="1"/>
        </w:rPr>
        <w:t> – Other scholars have suggested that figurines may have carried an apotropaic or healing function, posting that they were addressed in prayers or wishes during times of need.</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Amulets</w:t>
      </w:r>
      <w:r>
        <w:rPr>
          <w:rFonts w:ascii="Georgia" w:hAnsi="Georgia" w:cs="Arial"/>
          <w:color w:val="000000"/>
          <w:sz w:val="23"/>
          <w:szCs w:val="23"/>
          <w:bdr w:val="none" w:sz="0" w:space="0" w:color="auto" w:frame="1"/>
        </w:rPr>
        <w:t> – Yet others suggested that they served as amulets for domestic use, namely as talismans or good luck charms.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Fonts w:ascii="Georgia" w:hAnsi="Georgia" w:cs="Arial"/>
          <w:color w:val="000000"/>
          <w:sz w:val="23"/>
          <w:szCs w:val="23"/>
          <w:bdr w:val="none" w:sz="0" w:space="0" w:color="auto" w:frame="1"/>
        </w:rPr>
        <w:lastRenderedPageBreak/>
        <w:t>Biblical legislation would allow these uses, which do not include worship or any of the specified forms of forbidden magic. No biblical texts prohibit apotropaic or prophylactic rites, nor do they prohibit therapeutic rituals.</w:t>
      </w:r>
    </w:p>
    <w:p w:rsidR="00827C0B" w:rsidRDefault="00827C0B" w:rsidP="00314E7F">
      <w:pPr>
        <w:pStyle w:val="NormalWeb"/>
        <w:shd w:val="clear" w:color="auto" w:fill="FFFFFF"/>
        <w:spacing w:before="0" w:beforeAutospacing="0" w:after="0" w:afterAutospacing="0"/>
        <w:rPr>
          <w:rFonts w:ascii="Arial" w:hAnsi="Arial" w:cs="Arial"/>
          <w:color w:val="000000"/>
          <w:sz w:val="23"/>
          <w:szCs w:val="23"/>
        </w:rPr>
      </w:pPr>
      <w:r>
        <w:rPr>
          <w:rStyle w:val="Strong"/>
          <w:rFonts w:ascii="Georgia" w:hAnsi="Georgia" w:cs="Arial"/>
          <w:color w:val="000000"/>
          <w:sz w:val="23"/>
          <w:szCs w:val="23"/>
          <w:bdr w:val="none" w:sz="0" w:space="0" w:color="auto" w:frame="1"/>
        </w:rPr>
        <w:t>Domestic cult</w:t>
      </w:r>
      <w:r>
        <w:rPr>
          <w:rFonts w:ascii="Georgia" w:hAnsi="Georgia" w:cs="Arial"/>
          <w:color w:val="000000"/>
          <w:sz w:val="23"/>
          <w:szCs w:val="23"/>
          <w:bdr w:val="none" w:sz="0" w:space="0" w:color="auto" w:frame="1"/>
        </w:rPr>
        <w:t xml:space="preserve"> – Others prefer to interpret the JPF’s, alongside the zoomorphic and Horse-and-Rider figurines, as popular representations related to either the official state religion, or to forbidden female, foreign, or even pagan cults. In other words, JPF’s may personify an amalgamated goddess or (ancestral) intercessors through which one appealed for divine favors. Similarly, some have suggested that the animal figurines and the Horse-and-riders may have been used together in the domestic cult to represent </w:t>
      </w:r>
      <w:proofErr w:type="spellStart"/>
      <w:r>
        <w:rPr>
          <w:rFonts w:ascii="Georgia" w:hAnsi="Georgia" w:cs="Arial"/>
          <w:color w:val="000000"/>
          <w:sz w:val="23"/>
          <w:szCs w:val="23"/>
          <w:bdr w:val="none" w:sz="0" w:space="0" w:color="auto" w:frame="1"/>
        </w:rPr>
        <w:t>Asherah</w:t>
      </w:r>
      <w:proofErr w:type="spellEnd"/>
      <w:r>
        <w:rPr>
          <w:rFonts w:ascii="Georgia" w:hAnsi="Georgia" w:cs="Arial"/>
          <w:color w:val="000000"/>
          <w:sz w:val="23"/>
          <w:szCs w:val="23"/>
          <w:bdr w:val="none" w:sz="0" w:space="0" w:color="auto" w:frame="1"/>
        </w:rPr>
        <w:t xml:space="preserve"> and her entourage.</w:t>
      </w:r>
    </w:p>
    <w:p w:rsidR="00314E7F" w:rsidRPr="00314E7F" w:rsidRDefault="00314E7F" w:rsidP="00314E7F">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The biblical text prohibits several types of images. For example, the Decalogue (Ten Commandments) prohibits the people of Israel from making a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5:7-8):</w:t>
      </w:r>
    </w:p>
    <w:tbl>
      <w:tblPr>
        <w:tblW w:w="0" w:type="auto"/>
        <w:tblCellSpacing w:w="15" w:type="dxa"/>
        <w:tblBorders>
          <w:top w:val="single" w:sz="2" w:space="0" w:color="EBEBEB"/>
          <w:left w:val="single" w:sz="2" w:space="0" w:color="EBEBEB"/>
          <w:bottom w:val="single" w:sz="2" w:space="0" w:color="EBEBEB"/>
          <w:right w:val="single" w:sz="2" w:space="0" w:color="EBEBEB"/>
        </w:tblBorders>
        <w:shd w:val="clear" w:color="auto" w:fill="FFFFFF"/>
        <w:tblCellMar>
          <w:left w:w="0" w:type="dxa"/>
          <w:right w:w="0" w:type="dxa"/>
        </w:tblCellMar>
        <w:tblLook w:val="04A0" w:firstRow="1" w:lastRow="0" w:firstColumn="1" w:lastColumn="0" w:noHBand="0" w:noVBand="1"/>
      </w:tblPr>
      <w:tblGrid>
        <w:gridCol w:w="3397"/>
        <w:gridCol w:w="5963"/>
      </w:tblGrid>
      <w:tr w:rsidR="00314E7F" w:rsidRPr="00314E7F" w:rsidTr="00314E7F">
        <w:trPr>
          <w:tblCellSpacing w:w="15" w:type="dxa"/>
        </w:trPr>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314E7F" w:rsidRPr="00314E7F" w:rsidRDefault="00314E7F" w:rsidP="00314E7F">
            <w:pPr>
              <w:bidi/>
              <w:spacing w:after="0" w:line="240" w:lineRule="auto"/>
              <w:textAlignment w:val="baseline"/>
              <w:divId w:val="937493126"/>
              <w:rPr>
                <w:rFonts w:ascii="inherit" w:eastAsia="Times New Roman" w:hAnsi="inherit" w:cs="Arial"/>
                <w:color w:val="000000"/>
                <w:kern w:val="0"/>
                <w:sz w:val="23"/>
                <w:szCs w:val="23"/>
                <w:lang w:bidi="he-IL"/>
              </w:rPr>
            </w:pPr>
            <w:r w:rsidRPr="00314E7F">
              <w:rPr>
                <w:rFonts w:ascii="Georgia" w:eastAsia="Times New Roman" w:hAnsi="Georgia" w:cs="Arial"/>
                <w:color w:val="000000"/>
                <w:kern w:val="0"/>
                <w:sz w:val="23"/>
                <w:szCs w:val="23"/>
                <w:bdr w:val="none" w:sz="0" w:space="0" w:color="auto" w:frame="1"/>
                <w:rtl/>
                <w:lang w:bidi="he-IL"/>
              </w:rPr>
              <w:t>לֹא תַעֲשֶׂה לְךָ פֶסֶל כָּל תְּמוּנָה אֲשֶׁר בַּשָּׁמַיִם מִמַּעַל וַאֲשֶׁר בָּאָרֶץ מִתָּחַת וַאֲשֶׁר בַּמַּיִם מִתַּחַת לָאָרֶץ. ח לֹא תִשְׁתַּחֲוֶה לָהֶם וְלֹא תָעָבְדֵם</w:t>
            </w:r>
          </w:p>
        </w:tc>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314E7F" w:rsidRPr="00314E7F" w:rsidRDefault="00314E7F" w:rsidP="00314E7F">
            <w:pPr>
              <w:spacing w:after="0" w:line="240" w:lineRule="auto"/>
              <w:rPr>
                <w:rFonts w:ascii="inherit" w:eastAsia="Times New Roman" w:hAnsi="inherit" w:cs="Arial"/>
                <w:color w:val="000000"/>
                <w:kern w:val="0"/>
                <w:sz w:val="23"/>
                <w:szCs w:val="23"/>
                <w:rtl/>
              </w:rPr>
            </w:pPr>
            <w:r w:rsidRPr="00314E7F">
              <w:rPr>
                <w:rFonts w:ascii="Georgia" w:eastAsia="Times New Roman" w:hAnsi="Georgia" w:cs="Arial"/>
                <w:color w:val="000000"/>
                <w:kern w:val="0"/>
                <w:sz w:val="23"/>
                <w:szCs w:val="23"/>
                <w:bdr w:val="none" w:sz="0" w:space="0" w:color="auto" w:frame="1"/>
              </w:rPr>
              <w:t>You shall not make for yourselves a sculptured image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any likeness of what is in the heavens above, or on the earth below, or in the waters below the earth. You shall not bow down to them or serve them….”</w:t>
            </w:r>
          </w:p>
        </w:tc>
      </w:tr>
    </w:tbl>
    <w:p w:rsidR="00314E7F" w:rsidRPr="00314E7F" w:rsidRDefault="00314E7F" w:rsidP="00314E7F">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Deut. 4:16-18 likely elaborates upon this prohibition:</w:t>
      </w:r>
    </w:p>
    <w:tbl>
      <w:tblPr>
        <w:tblW w:w="0" w:type="auto"/>
        <w:tblCellSpacing w:w="15" w:type="dxa"/>
        <w:tblBorders>
          <w:top w:val="single" w:sz="2" w:space="0" w:color="EBEBEB"/>
          <w:left w:val="single" w:sz="2" w:space="0" w:color="EBEBEB"/>
          <w:bottom w:val="single" w:sz="2" w:space="0" w:color="EBEBEB"/>
          <w:right w:val="single" w:sz="2" w:space="0" w:color="EBEBEB"/>
        </w:tblBorders>
        <w:shd w:val="clear" w:color="auto" w:fill="FFFFFF"/>
        <w:tblCellMar>
          <w:left w:w="0" w:type="dxa"/>
          <w:right w:w="0" w:type="dxa"/>
        </w:tblCellMar>
        <w:tblLook w:val="04A0" w:firstRow="1" w:lastRow="0" w:firstColumn="1" w:lastColumn="0" w:noHBand="0" w:noVBand="1"/>
      </w:tblPr>
      <w:tblGrid>
        <w:gridCol w:w="3011"/>
        <w:gridCol w:w="6349"/>
      </w:tblGrid>
      <w:tr w:rsidR="00314E7F" w:rsidRPr="00314E7F" w:rsidTr="00314E7F">
        <w:trPr>
          <w:tblCellSpacing w:w="15" w:type="dxa"/>
        </w:trPr>
        <w:tc>
          <w:tcPr>
            <w:tcW w:w="1600" w:type="pct"/>
            <w:tcBorders>
              <w:top w:val="nil"/>
              <w:left w:val="nil"/>
              <w:bottom w:val="nil"/>
              <w:right w:val="nil"/>
            </w:tcBorders>
            <w:shd w:val="clear" w:color="auto" w:fill="FFFFFF"/>
            <w:tcMar>
              <w:top w:w="45" w:type="dxa"/>
              <w:left w:w="120" w:type="dxa"/>
              <w:bottom w:w="45" w:type="dxa"/>
              <w:right w:w="120" w:type="dxa"/>
            </w:tcMar>
            <w:vAlign w:val="bottom"/>
            <w:hideMark/>
          </w:tcPr>
          <w:p w:rsidR="00314E7F" w:rsidRPr="00314E7F" w:rsidRDefault="00314E7F" w:rsidP="00314E7F">
            <w:pPr>
              <w:bidi/>
              <w:spacing w:after="0" w:line="240" w:lineRule="auto"/>
              <w:textAlignment w:val="baseline"/>
              <w:divId w:val="860508764"/>
              <w:rPr>
                <w:rFonts w:ascii="inherit" w:eastAsia="Times New Roman" w:hAnsi="inherit" w:cs="Arial"/>
                <w:color w:val="000000"/>
                <w:kern w:val="0"/>
                <w:sz w:val="23"/>
                <w:szCs w:val="23"/>
                <w:lang w:bidi="he-IL"/>
              </w:rPr>
            </w:pPr>
            <w:r w:rsidRPr="00314E7F">
              <w:rPr>
                <w:rFonts w:ascii="Georgia" w:eastAsia="Times New Roman" w:hAnsi="Georgia" w:cs="Arial"/>
                <w:color w:val="000000"/>
                <w:kern w:val="0"/>
                <w:sz w:val="23"/>
                <w:szCs w:val="23"/>
                <w:bdr w:val="none" w:sz="0" w:space="0" w:color="auto" w:frame="1"/>
                <w:rtl/>
                <w:lang w:bidi="he-IL"/>
              </w:rPr>
              <w:t>פֶּן תַּשְׁחִתוּן וַעֲשִׂיתֶם לָכֶם פֶּסֶל תְּמוּנַת כָּל סָמֶל תַּבְנִית זָכָר אוֹ נְקֵבָה. תַּבְנִית כָּל בְּהֵמָה אֲשֶׁר בָּאָרֶץ תַּבְנִית כָּל צִפּוֹר כָּנָף אֲשֶׁר תָּעוּף בַּשָּׁמָיִם. תַּבְנִית כָּל רֹמֵשׂ בָּאֲדָמָה תַּבְנִית כָּל דָּגָה אֲשֶׁר בַּמַּיִם מִתַּחַת לָאָרֶץ.</w:t>
            </w:r>
          </w:p>
        </w:tc>
        <w:tc>
          <w:tcPr>
            <w:tcW w:w="0" w:type="auto"/>
            <w:tcBorders>
              <w:top w:val="nil"/>
              <w:left w:val="nil"/>
              <w:bottom w:val="nil"/>
              <w:right w:val="nil"/>
            </w:tcBorders>
            <w:shd w:val="clear" w:color="auto" w:fill="FFFFFF"/>
            <w:tcMar>
              <w:top w:w="45" w:type="dxa"/>
              <w:left w:w="120" w:type="dxa"/>
              <w:bottom w:w="45" w:type="dxa"/>
              <w:right w:w="120" w:type="dxa"/>
            </w:tcMar>
            <w:vAlign w:val="bottom"/>
            <w:hideMark/>
          </w:tcPr>
          <w:p w:rsidR="00314E7F" w:rsidRPr="00314E7F" w:rsidRDefault="00314E7F" w:rsidP="00314E7F">
            <w:pPr>
              <w:spacing w:after="0" w:line="240" w:lineRule="auto"/>
              <w:rPr>
                <w:rFonts w:ascii="inherit" w:eastAsia="Times New Roman" w:hAnsi="inherit" w:cs="Arial"/>
                <w:color w:val="000000"/>
                <w:kern w:val="0"/>
                <w:sz w:val="23"/>
                <w:szCs w:val="23"/>
                <w:rtl/>
              </w:rPr>
            </w:pPr>
            <w:r w:rsidRPr="00314E7F">
              <w:rPr>
                <w:rFonts w:ascii="Georgia" w:eastAsia="Times New Roman" w:hAnsi="Georgia" w:cs="Arial"/>
                <w:color w:val="000000"/>
                <w:kern w:val="0"/>
                <w:sz w:val="23"/>
                <w:szCs w:val="23"/>
                <w:bdr w:val="none" w:sz="0" w:space="0" w:color="auto" w:frame="1"/>
              </w:rPr>
              <w:t>Do not act wickedly and make for yourselves a sculptured image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in any likeness whatever (</w:t>
            </w:r>
            <w:proofErr w:type="spellStart"/>
            <w:r w:rsidRPr="00314E7F">
              <w:rPr>
                <w:rFonts w:ascii="inherit" w:eastAsia="Times New Roman" w:hAnsi="inherit" w:cs="Arial"/>
                <w:i/>
                <w:iCs/>
                <w:color w:val="000000"/>
                <w:kern w:val="0"/>
                <w:sz w:val="23"/>
                <w:szCs w:val="23"/>
                <w:bdr w:val="none" w:sz="0" w:space="0" w:color="auto" w:frame="1"/>
              </w:rPr>
              <w:t>semel</w:t>
            </w:r>
            <w:proofErr w:type="spellEnd"/>
            <w:r w:rsidRPr="00314E7F">
              <w:rPr>
                <w:rFonts w:ascii="Georgia" w:eastAsia="Times New Roman" w:hAnsi="Georgia" w:cs="Arial"/>
                <w:color w:val="000000"/>
                <w:kern w:val="0"/>
                <w:sz w:val="23"/>
                <w:szCs w:val="23"/>
                <w:bdr w:val="none" w:sz="0" w:space="0" w:color="auto" w:frame="1"/>
              </w:rPr>
              <w:t>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w:t>
            </w:r>
            <w:r w:rsidRPr="00314E7F">
              <w:rPr>
                <w:rFonts w:ascii="Georgia" w:eastAsia="Times New Roman" w:hAnsi="Georgia" w:cs="Arial"/>
                <w:color w:val="000000"/>
                <w:kern w:val="0"/>
                <w:sz w:val="23"/>
                <w:szCs w:val="23"/>
                <w:bdr w:val="none" w:sz="0" w:space="0" w:color="auto" w:frame="1"/>
              </w:rPr>
              <w:t> the form of a man or a woman,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 beast on earth,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 winged bird that flies in the sky, the form (</w:t>
            </w:r>
            <w:proofErr w:type="spellStart"/>
            <w:r w:rsidRPr="00314E7F">
              <w:rPr>
                <w:rFonts w:ascii="inherit" w:eastAsia="Times New Roman" w:hAnsi="inherit" w:cs="Arial"/>
                <w:i/>
                <w:iCs/>
                <w:color w:val="000000"/>
                <w:kern w:val="0"/>
                <w:sz w:val="23"/>
                <w:szCs w:val="23"/>
                <w:bdr w:val="none" w:sz="0" w:space="0" w:color="auto" w:frame="1"/>
              </w:rPr>
              <w:t>tabnît</w:t>
            </w:r>
            <w:proofErr w:type="spellEnd"/>
            <w:r w:rsidRPr="00314E7F">
              <w:rPr>
                <w:rFonts w:ascii="inherit" w:eastAsia="Times New Roman" w:hAnsi="inherit" w:cs="Arial"/>
                <w:i/>
                <w:iCs/>
                <w:color w:val="000000"/>
                <w:kern w:val="0"/>
                <w:sz w:val="23"/>
                <w:szCs w:val="23"/>
                <w:bdr w:val="none" w:sz="0" w:space="0" w:color="auto" w:frame="1"/>
              </w:rPr>
              <w:t>) </w:t>
            </w:r>
            <w:r w:rsidRPr="00314E7F">
              <w:rPr>
                <w:rFonts w:ascii="Georgia" w:eastAsia="Times New Roman" w:hAnsi="Georgia" w:cs="Arial"/>
                <w:color w:val="000000"/>
                <w:kern w:val="0"/>
                <w:sz w:val="23"/>
                <w:szCs w:val="23"/>
                <w:bdr w:val="none" w:sz="0" w:space="0" w:color="auto" w:frame="1"/>
              </w:rPr>
              <w:t>of anything that creeps on the ground, the form of any fish that is in the waters below the earth.”</w:t>
            </w:r>
          </w:p>
        </w:tc>
      </w:tr>
    </w:tbl>
    <w:p w:rsidR="00314E7F" w:rsidRPr="00314E7F" w:rsidRDefault="00314E7F" w:rsidP="00314E7F">
      <w:pPr>
        <w:shd w:val="clear" w:color="auto" w:fill="FFFFFF"/>
        <w:spacing w:after="0" w:line="240" w:lineRule="auto"/>
        <w:rPr>
          <w:rFonts w:ascii="Arial" w:eastAsia="Times New Roman" w:hAnsi="Arial" w:cs="Arial"/>
          <w:color w:val="000000"/>
          <w:kern w:val="0"/>
          <w:sz w:val="23"/>
          <w:szCs w:val="23"/>
        </w:rPr>
      </w:pPr>
      <w:r w:rsidRPr="00314E7F">
        <w:rPr>
          <w:rFonts w:ascii="Georgia" w:eastAsia="Times New Roman" w:hAnsi="Georgia" w:cs="Arial"/>
          <w:color w:val="000000"/>
          <w:kern w:val="0"/>
          <w:sz w:val="23"/>
          <w:szCs w:val="23"/>
          <w:bdr w:val="none" w:sz="0" w:space="0" w:color="auto" w:frame="1"/>
        </w:rPr>
        <w:t xml:space="preserve">Similarly, the Israelites are prohibited from worshipping certain pre-existent items, even if they did not manufacture them. This is noted especially in </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7:5, which commands to “tear down their [the Canaanites] altars, </w:t>
      </w:r>
      <w:r w:rsidRPr="00314E7F">
        <w:rPr>
          <w:rFonts w:ascii="inherit" w:eastAsia="Times New Roman" w:hAnsi="inherit" w:cs="Arial"/>
          <w:i/>
          <w:iCs/>
          <w:color w:val="000000"/>
          <w:kern w:val="0"/>
          <w:sz w:val="23"/>
          <w:szCs w:val="23"/>
          <w:bdr w:val="none" w:sz="0" w:space="0" w:color="auto" w:frame="1"/>
        </w:rPr>
        <w:t>smash their pillars</w:t>
      </w:r>
      <w:r w:rsidRPr="00314E7F">
        <w:rPr>
          <w:rFonts w:ascii="Georgia" w:eastAsia="Times New Roman" w:hAnsi="Georgia" w:cs="Arial"/>
          <w:color w:val="000000"/>
          <w:kern w:val="0"/>
          <w:sz w:val="23"/>
          <w:szCs w:val="23"/>
          <w:bdr w:val="none" w:sz="0" w:space="0" w:color="auto" w:frame="1"/>
        </w:rPr>
        <w:t>, cut down their sacred posts, and consign their images (</w:t>
      </w:r>
      <w:proofErr w:type="spellStart"/>
      <w:r w:rsidRPr="00314E7F">
        <w:rPr>
          <w:rFonts w:ascii="inherit" w:eastAsia="Times New Roman" w:hAnsi="inherit" w:cs="Arial"/>
          <w:i/>
          <w:iCs/>
          <w:color w:val="000000"/>
          <w:kern w:val="0"/>
          <w:sz w:val="23"/>
          <w:szCs w:val="23"/>
          <w:bdr w:val="none" w:sz="0" w:space="0" w:color="auto" w:frame="1"/>
        </w:rPr>
        <w:t>pesileihem</w:t>
      </w:r>
      <w:proofErr w:type="spellEnd"/>
      <w:r w:rsidRPr="00314E7F">
        <w:rPr>
          <w:rFonts w:ascii="Georgia" w:eastAsia="Times New Roman" w:hAnsi="Georgia" w:cs="Arial"/>
          <w:color w:val="000000"/>
          <w:kern w:val="0"/>
          <w:sz w:val="23"/>
          <w:szCs w:val="23"/>
          <w:bdr w:val="none" w:sz="0" w:space="0" w:color="auto" w:frame="1"/>
        </w:rPr>
        <w:t>) to fire.”</w:t>
      </w:r>
    </w:p>
    <w:p w:rsidR="00314E7F" w:rsidRPr="00314E7F" w:rsidRDefault="00314E7F" w:rsidP="00314E7F">
      <w:pPr>
        <w:shd w:val="clear" w:color="auto" w:fill="FFFFFF"/>
        <w:spacing w:after="0" w:line="240" w:lineRule="auto"/>
        <w:rPr>
          <w:rFonts w:ascii="Arial" w:eastAsia="Times New Roman" w:hAnsi="Arial" w:cs="Arial"/>
          <w:color w:val="000000"/>
          <w:kern w:val="0"/>
          <w:sz w:val="23"/>
          <w:szCs w:val="23"/>
        </w:rPr>
      </w:pPr>
      <w:r w:rsidRPr="00314E7F">
        <w:rPr>
          <w:b/>
        </w:rPr>
        <w:t>Idol Production: A Focus on Materials.</w:t>
      </w:r>
      <w:r w:rsidRPr="00314E7F">
        <w:t xml:space="preserve"> In an attempt to identify which biblical</w:t>
      </w:r>
      <w:r w:rsidRPr="00314E7F">
        <w:rPr>
          <w:rFonts w:ascii="Georgia" w:eastAsia="Times New Roman" w:hAnsi="Georgia" w:cs="Arial"/>
          <w:color w:val="000000"/>
          <w:kern w:val="0"/>
          <w:sz w:val="23"/>
          <w:szCs w:val="23"/>
          <w:bdr w:val="none" w:sz="0" w:space="0" w:color="auto" w:frame="1"/>
        </w:rPr>
        <w:t xml:space="preserve"> term/s (if any) may refer to the JPF’s, Erin Darby has recently summarized some o</w:t>
      </w:r>
      <w:r>
        <w:rPr>
          <w:rFonts w:ascii="Georgia" w:eastAsia="Times New Roman" w:hAnsi="Georgia" w:cs="Arial"/>
          <w:color w:val="000000"/>
          <w:kern w:val="0"/>
          <w:sz w:val="23"/>
          <w:szCs w:val="23"/>
          <w:bdr w:val="none" w:sz="0" w:space="0" w:color="auto" w:frame="1"/>
        </w:rPr>
        <w:t xml:space="preserve">f the scholarship on this topic (Darby 2014). </w:t>
      </w:r>
      <w:r w:rsidRPr="00314E7F">
        <w:rPr>
          <w:rFonts w:ascii="Georgia" w:eastAsia="Times New Roman" w:hAnsi="Georgia" w:cs="Arial"/>
          <w:color w:val="000000"/>
          <w:kern w:val="0"/>
          <w:sz w:val="23"/>
          <w:szCs w:val="23"/>
          <w:bdr w:val="none" w:sz="0" w:space="0" w:color="auto" w:frame="1"/>
        </w:rPr>
        <w:t>The Hebrew word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xml:space="preserve"> is the most common biblical term for an idol. Its related verb means, “to hew” or “hew into shape,” and can refer to stone tables or building stones (e.g. </w:t>
      </w:r>
      <w:proofErr w:type="spellStart"/>
      <w:r w:rsidRPr="00314E7F">
        <w:rPr>
          <w:rFonts w:ascii="Georgia" w:eastAsia="Times New Roman" w:hAnsi="Georgia" w:cs="Arial"/>
          <w:color w:val="000000"/>
          <w:kern w:val="0"/>
          <w:sz w:val="23"/>
          <w:szCs w:val="23"/>
          <w:bdr w:val="none" w:sz="0" w:space="0" w:color="auto" w:frame="1"/>
        </w:rPr>
        <w:t>Exod</w:t>
      </w:r>
      <w:proofErr w:type="spellEnd"/>
      <w:r w:rsidRPr="00314E7F">
        <w:rPr>
          <w:rFonts w:ascii="Georgia" w:eastAsia="Times New Roman" w:hAnsi="Georgia" w:cs="Arial"/>
          <w:color w:val="000000"/>
          <w:kern w:val="0"/>
          <w:sz w:val="23"/>
          <w:szCs w:val="23"/>
          <w:bdr w:val="none" w:sz="0" w:space="0" w:color="auto" w:frame="1"/>
        </w:rPr>
        <w:t xml:space="preserve"> 34:1, 4; </w:t>
      </w:r>
      <w:proofErr w:type="spellStart"/>
      <w:r w:rsidRPr="00314E7F">
        <w:rPr>
          <w:rFonts w:ascii="Georgia" w:eastAsia="Times New Roman" w:hAnsi="Georgia" w:cs="Arial"/>
          <w:color w:val="000000"/>
          <w:kern w:val="0"/>
          <w:sz w:val="23"/>
          <w:szCs w:val="23"/>
          <w:bdr w:val="none" w:sz="0" w:space="0" w:color="auto" w:frame="1"/>
        </w:rPr>
        <w:t>Deut</w:t>
      </w:r>
      <w:proofErr w:type="spellEnd"/>
      <w:r w:rsidRPr="00314E7F">
        <w:rPr>
          <w:rFonts w:ascii="Georgia" w:eastAsia="Times New Roman" w:hAnsi="Georgia" w:cs="Arial"/>
          <w:color w:val="000000"/>
          <w:kern w:val="0"/>
          <w:sz w:val="23"/>
          <w:szCs w:val="23"/>
          <w:bdr w:val="none" w:sz="0" w:space="0" w:color="auto" w:frame="1"/>
        </w:rPr>
        <w:t xml:space="preserve"> 10:1, 3; 1 Kgs 5:22). The noun, however, refers to idols in general. These seem to have usually been made of wood, stone, or metal (e.g. Isa 30:12; Deut. 7:5), and this is the likely referent in the early use of the term </w:t>
      </w:r>
      <w:proofErr w:type="spellStart"/>
      <w:r w:rsidRPr="00314E7F">
        <w:rPr>
          <w:rFonts w:ascii="inherit" w:eastAsia="Times New Roman" w:hAnsi="inherit" w:cs="Arial"/>
          <w:i/>
          <w:iCs/>
          <w:color w:val="000000"/>
          <w:kern w:val="0"/>
          <w:sz w:val="23"/>
          <w:szCs w:val="23"/>
          <w:bdr w:val="none" w:sz="0" w:space="0" w:color="auto" w:frame="1"/>
        </w:rPr>
        <w:t>pesel</w:t>
      </w:r>
      <w:proofErr w:type="spellEnd"/>
      <w:r w:rsidRPr="00314E7F">
        <w:rPr>
          <w:rFonts w:ascii="Georgia" w:eastAsia="Times New Roman" w:hAnsi="Georgia" w:cs="Arial"/>
          <w:color w:val="000000"/>
          <w:kern w:val="0"/>
          <w:sz w:val="23"/>
          <w:szCs w:val="23"/>
          <w:bdr w:val="none" w:sz="0" w:space="0" w:color="auto" w:frame="1"/>
        </w:rPr>
        <w:t>, though the term may theoretically refer to a wider range of materials, including clay.</w:t>
      </w:r>
    </w:p>
    <w:p w:rsidR="00827C0B" w:rsidRPr="001F237E" w:rsidRDefault="00827C0B" w:rsidP="00314E7F">
      <w:pPr>
        <w:spacing w:after="0"/>
        <w:rPr>
          <w:rStyle w:val="Strong"/>
          <w:bCs w:val="0"/>
        </w:rPr>
      </w:pPr>
    </w:p>
    <w:p w:rsidR="00056503" w:rsidRDefault="00056503" w:rsidP="00314E7F">
      <w:pPr>
        <w:spacing w:after="0"/>
      </w:pPr>
      <w:r>
        <w:rPr>
          <w:rStyle w:val="Strong"/>
        </w:rPr>
        <w:t>LC Classification:</w:t>
      </w:r>
      <w:r>
        <w:t xml:space="preserve"> </w:t>
      </w:r>
    </w:p>
    <w:p w:rsidR="00056503" w:rsidRDefault="00056503" w:rsidP="00314E7F">
      <w:pPr>
        <w:spacing w:after="0"/>
      </w:pPr>
      <w:r>
        <w:rPr>
          <w:rStyle w:val="Strong"/>
        </w:rPr>
        <w:t>Date or Time Horizon:</w:t>
      </w:r>
      <w:r>
        <w:t xml:space="preserve"> </w:t>
      </w:r>
    </w:p>
    <w:p w:rsidR="00056503" w:rsidRDefault="00056503" w:rsidP="00314E7F">
      <w:pPr>
        <w:spacing w:after="0"/>
        <w:rPr>
          <w:rStyle w:val="Strong"/>
        </w:rPr>
      </w:pPr>
      <w:r>
        <w:rPr>
          <w:rStyle w:val="Strong"/>
        </w:rPr>
        <w:t xml:space="preserve">Geographical Area: </w:t>
      </w:r>
    </w:p>
    <w:p w:rsidR="00056503" w:rsidRDefault="00056503" w:rsidP="00314E7F">
      <w:pPr>
        <w:spacing w:after="0"/>
        <w:rPr>
          <w:rStyle w:val="Strong"/>
        </w:rPr>
      </w:pPr>
      <w:r>
        <w:rPr>
          <w:rStyle w:val="Strong"/>
        </w:rPr>
        <w:t xml:space="preserve">Map: </w:t>
      </w:r>
    </w:p>
    <w:p w:rsidR="00056503" w:rsidRPr="008D658C" w:rsidRDefault="00056503" w:rsidP="00314E7F">
      <w:pPr>
        <w:spacing w:after="0"/>
        <w:rPr>
          <w:color w:val="0000FF"/>
          <w:u w:val="single"/>
        </w:rPr>
      </w:pPr>
      <w:r>
        <w:rPr>
          <w:rStyle w:val="Strong"/>
        </w:rPr>
        <w:t>GPS Coordinates:</w:t>
      </w:r>
      <w:r>
        <w:t xml:space="preserve"> </w:t>
      </w:r>
    </w:p>
    <w:p w:rsidR="00056503" w:rsidRDefault="00056503" w:rsidP="00314E7F">
      <w:pPr>
        <w:spacing w:after="0"/>
      </w:pPr>
      <w:r>
        <w:rPr>
          <w:rStyle w:val="Strong"/>
        </w:rPr>
        <w:t>Cultural Affiliation:</w:t>
      </w:r>
      <w:r>
        <w:t xml:space="preserve"> </w:t>
      </w:r>
    </w:p>
    <w:p w:rsidR="00056503" w:rsidRDefault="00056503" w:rsidP="00314E7F">
      <w:pPr>
        <w:spacing w:after="0"/>
      </w:pPr>
      <w:r>
        <w:rPr>
          <w:rStyle w:val="Strong"/>
        </w:rPr>
        <w:t>Medium:</w:t>
      </w:r>
      <w:r>
        <w:t xml:space="preserve"> </w:t>
      </w:r>
    </w:p>
    <w:p w:rsidR="00056503" w:rsidRDefault="00056503" w:rsidP="00314E7F">
      <w:pPr>
        <w:spacing w:after="0"/>
        <w:rPr>
          <w:b/>
          <w:bCs/>
        </w:rPr>
      </w:pPr>
      <w:r>
        <w:rPr>
          <w:rStyle w:val="Strong"/>
        </w:rPr>
        <w:t>Dimensions:</w:t>
      </w:r>
      <w:r>
        <w:t xml:space="preserve"> H </w:t>
      </w:r>
      <w:r>
        <w:rPr>
          <w:rStyle w:val="s1"/>
        </w:rPr>
        <w:t xml:space="preserve">20 cm x </w:t>
      </w:r>
      <w:proofErr w:type="spellStart"/>
      <w:r>
        <w:rPr>
          <w:rStyle w:val="s1"/>
        </w:rPr>
        <w:t>Dia</w:t>
      </w:r>
      <w:proofErr w:type="spellEnd"/>
      <w:r>
        <w:rPr>
          <w:rStyle w:val="s1"/>
        </w:rPr>
        <w:t xml:space="preserve"> 9 cm</w:t>
      </w:r>
    </w:p>
    <w:p w:rsidR="00056503" w:rsidRPr="00F038E9" w:rsidRDefault="00056503" w:rsidP="00314E7F">
      <w:pPr>
        <w:spacing w:after="0"/>
        <w:rPr>
          <w:rStyle w:val="Strong"/>
          <w:b w:val="0"/>
        </w:rPr>
      </w:pPr>
      <w:r>
        <w:rPr>
          <w:rStyle w:val="Strong"/>
        </w:rPr>
        <w:t xml:space="preserve">Weight: </w:t>
      </w:r>
      <w:r w:rsidRPr="00F038E9">
        <w:rPr>
          <w:rStyle w:val="Strong"/>
          <w:b w:val="0"/>
        </w:rPr>
        <w:t xml:space="preserve">587g, 1 </w:t>
      </w:r>
      <w:proofErr w:type="spellStart"/>
      <w:r w:rsidRPr="00F038E9">
        <w:rPr>
          <w:rStyle w:val="Strong"/>
          <w:b w:val="0"/>
        </w:rPr>
        <w:t>lb</w:t>
      </w:r>
      <w:proofErr w:type="spellEnd"/>
      <w:r w:rsidRPr="00F038E9">
        <w:rPr>
          <w:rStyle w:val="Strong"/>
          <w:b w:val="0"/>
        </w:rPr>
        <w:t xml:space="preserve"> 4.5 </w:t>
      </w:r>
      <w:proofErr w:type="spellStart"/>
      <w:r w:rsidRPr="00F038E9">
        <w:rPr>
          <w:rStyle w:val="Strong"/>
          <w:b w:val="0"/>
        </w:rPr>
        <w:t>oz</w:t>
      </w:r>
      <w:proofErr w:type="spellEnd"/>
      <w:r w:rsidRPr="00F038E9">
        <w:rPr>
          <w:rStyle w:val="Strong"/>
          <w:b w:val="0"/>
        </w:rPr>
        <w:t xml:space="preserve"> </w:t>
      </w:r>
    </w:p>
    <w:p w:rsidR="00056503" w:rsidRPr="002E3130" w:rsidRDefault="00056503" w:rsidP="00314E7F">
      <w:pPr>
        <w:spacing w:after="0"/>
        <w:rPr>
          <w:rStyle w:val="Strong"/>
          <w:b w:val="0"/>
        </w:rPr>
      </w:pPr>
      <w:r>
        <w:rPr>
          <w:rStyle w:val="Strong"/>
        </w:rPr>
        <w:lastRenderedPageBreak/>
        <w:t xml:space="preserve">Condition: </w:t>
      </w:r>
      <w:r w:rsidRPr="002E3130">
        <w:rPr>
          <w:rStyle w:val="Strong"/>
          <w:b w:val="0"/>
        </w:rPr>
        <w:t>original</w:t>
      </w:r>
    </w:p>
    <w:p w:rsidR="00056503" w:rsidRDefault="00056503" w:rsidP="00314E7F">
      <w:pPr>
        <w:spacing w:after="0"/>
        <w:rPr>
          <w:b/>
        </w:rPr>
      </w:pPr>
      <w:r>
        <w:rPr>
          <w:rStyle w:val="Strong"/>
        </w:rPr>
        <w:t>Provenance:</w:t>
      </w:r>
      <w:r>
        <w:t xml:space="preserve"> </w:t>
      </w:r>
      <w:r>
        <w:rPr>
          <w:rStyle w:val="s1"/>
        </w:rPr>
        <w:t>part of an old collection</w:t>
      </w:r>
      <w:r w:rsidRPr="00056503">
        <w:rPr>
          <w:b/>
        </w:rPr>
        <w:t xml:space="preserve"> </w:t>
      </w:r>
    </w:p>
    <w:p w:rsidR="00056503" w:rsidRPr="00056503" w:rsidRDefault="00056503" w:rsidP="00314E7F">
      <w:pPr>
        <w:spacing w:after="0"/>
        <w:rPr>
          <w:b/>
        </w:rPr>
      </w:pPr>
      <w:r w:rsidRPr="00056503">
        <w:rPr>
          <w:b/>
        </w:rPr>
        <w:t xml:space="preserve">Condition: </w:t>
      </w:r>
    </w:p>
    <w:p w:rsidR="00056503" w:rsidRDefault="00056503" w:rsidP="00314E7F">
      <w:pPr>
        <w:spacing w:after="0"/>
        <w:rPr>
          <w:b/>
        </w:rPr>
      </w:pPr>
      <w:r w:rsidRPr="004043CB">
        <w:rPr>
          <w:b/>
        </w:rPr>
        <w:t>Discussion</w:t>
      </w:r>
      <w:r>
        <w:rPr>
          <w:b/>
        </w:rPr>
        <w:t>:</w:t>
      </w:r>
    </w:p>
    <w:p w:rsidR="00056503" w:rsidRDefault="00056503" w:rsidP="00314E7F">
      <w:pPr>
        <w:spacing w:after="0"/>
        <w:rPr>
          <w:b/>
        </w:rPr>
      </w:pPr>
      <w:r>
        <w:rPr>
          <w:color w:val="000000"/>
          <w:sz w:val="27"/>
          <w:szCs w:val="27"/>
        </w:rPr>
        <w:t>Iron II (1000-550) witnessed the rise of the states of Judah and Israel in the tenth-ninth century. These small principalities exercise considerable control over their particular regions due in part to the decline of the great powers, Assyria and Egypt, from about 1200 to 900. Beginning in the eighth century and certainly in the seventh century, Assyria reestablishes its authority over the eastern Mediterranean area and exercises almost complete control. The northern state of Israel is obliterated in 722/721 by King Sargon and its inhabitants taken into exile. Judah, left alone, gradually accommodates to Assyrian control, but towards the end of the seventh century it does revolt as the Assyrian empire disintegrated. Judah's freedom was short-lived, however, and eventually snuffed out by the Chaldean kings who conquered Jerusalem and took some of the ruling class into exile to Babylon. During the period of exile in Babylon, the area, particularly from Jerusalem south, shows a mark decline. Other areas just north of Jerusalem are almost unaffected by the catastrophe that befell Judah.</w:t>
      </w:r>
      <w:r>
        <w:rPr>
          <w:color w:val="000000"/>
          <w:sz w:val="27"/>
          <w:szCs w:val="27"/>
        </w:rPr>
        <w:t xml:space="preserve"> From </w:t>
      </w:r>
      <w:r w:rsidRPr="00056503">
        <w:rPr>
          <w:color w:val="000000"/>
          <w:sz w:val="27"/>
          <w:szCs w:val="27"/>
        </w:rPr>
        <w:t>https://www.bu.edu/anep/Ir.html</w:t>
      </w:r>
    </w:p>
    <w:p w:rsidR="00056503" w:rsidRPr="00050BD4" w:rsidRDefault="00056503" w:rsidP="00314E7F">
      <w:pPr>
        <w:spacing w:after="0"/>
        <w:rPr>
          <w:b/>
        </w:rPr>
      </w:pPr>
      <w:r w:rsidRPr="00050BD4">
        <w:rPr>
          <w:b/>
        </w:rPr>
        <w:t>References:</w:t>
      </w:r>
    </w:p>
    <w:p w:rsidR="00056503" w:rsidRDefault="00056503" w:rsidP="00314E7F">
      <w:pPr>
        <w:spacing w:after="0"/>
      </w:pPr>
      <w:proofErr w:type="spellStart"/>
      <w:r w:rsidRPr="00056503">
        <w:t>Aharoni</w:t>
      </w:r>
      <w:proofErr w:type="spellEnd"/>
      <w:r w:rsidRPr="00056503">
        <w:t>, Y. "New Aspects of the Israelite Occupation in the North."</w:t>
      </w:r>
      <w:r w:rsidR="00827C0B">
        <w:t xml:space="preserve"> </w:t>
      </w:r>
      <w:r w:rsidRPr="00056503">
        <w:t>Near Eastern Archaeology in the Tw</w:t>
      </w:r>
      <w:r w:rsidR="00827C0B">
        <w:t xml:space="preserve">entieth Century, Essays in </w:t>
      </w:r>
      <w:r w:rsidRPr="00056503">
        <w:t>Honor of</w:t>
      </w:r>
      <w:r w:rsidR="00827C0B">
        <w:t xml:space="preserve"> Nelson </w:t>
      </w:r>
      <w:proofErr w:type="spellStart"/>
      <w:r w:rsidR="00827C0B">
        <w:t>Glueck</w:t>
      </w:r>
      <w:proofErr w:type="spellEnd"/>
      <w:r w:rsidR="00827C0B">
        <w:t>. New York, 1970</w:t>
      </w:r>
      <w:r w:rsidRPr="00056503">
        <w:t>.</w:t>
      </w:r>
    </w:p>
    <w:p w:rsidR="00BB4F1D" w:rsidRDefault="00BB4F1D" w:rsidP="00314E7F">
      <w:pPr>
        <w:spacing w:after="0"/>
        <w:rPr>
          <w:rFonts w:ascii="Georgia" w:hAnsi="Georgia"/>
          <w:color w:val="000000"/>
          <w:sz w:val="23"/>
          <w:szCs w:val="23"/>
          <w:shd w:val="clear" w:color="auto" w:fill="FFFFFF"/>
        </w:rPr>
      </w:pPr>
      <w:r>
        <w:rPr>
          <w:rFonts w:ascii="Georgia" w:hAnsi="Georgia"/>
          <w:color w:val="000000"/>
          <w:sz w:val="23"/>
          <w:szCs w:val="23"/>
          <w:shd w:val="clear" w:color="auto" w:fill="FFFFFF"/>
        </w:rPr>
        <w:t>Darby,</w:t>
      </w:r>
      <w:r>
        <w:rPr>
          <w:rFonts w:ascii="Georgia" w:hAnsi="Georgia"/>
          <w:color w:val="000000"/>
          <w:sz w:val="23"/>
          <w:szCs w:val="23"/>
          <w:shd w:val="clear" w:color="auto" w:fill="FFFFFF"/>
        </w:rPr>
        <w:t xml:space="preserve"> </w:t>
      </w:r>
      <w:proofErr w:type="gramStart"/>
      <w:r>
        <w:rPr>
          <w:rFonts w:ascii="Georgia" w:hAnsi="Georgia"/>
          <w:color w:val="000000"/>
          <w:sz w:val="23"/>
          <w:szCs w:val="23"/>
          <w:shd w:val="clear" w:color="auto" w:fill="FFFFFF"/>
        </w:rPr>
        <w:t xml:space="preserve">Erin </w:t>
      </w:r>
      <w:r>
        <w:rPr>
          <w:rFonts w:ascii="Georgia" w:hAnsi="Georgia"/>
          <w:color w:val="000000"/>
          <w:sz w:val="23"/>
          <w:szCs w:val="23"/>
          <w:shd w:val="clear" w:color="auto" w:fill="FFFFFF"/>
        </w:rPr>
        <w:t>.</w:t>
      </w:r>
      <w:proofErr w:type="gramEnd"/>
      <w:r>
        <w:rPr>
          <w:rFonts w:ascii="Georgia" w:hAnsi="Georgia"/>
          <w:color w:val="000000"/>
          <w:sz w:val="23"/>
          <w:szCs w:val="23"/>
          <w:shd w:val="clear" w:color="auto" w:fill="FFFFFF"/>
        </w:rPr>
        <w:t xml:space="preserve"> 2014. </w:t>
      </w:r>
      <w:r>
        <w:rPr>
          <w:rStyle w:val="Emphasis"/>
          <w:rFonts w:ascii="Georgia" w:hAnsi="Georgia"/>
          <w:color w:val="000000"/>
          <w:sz w:val="23"/>
          <w:szCs w:val="23"/>
          <w:bdr w:val="none" w:sz="0" w:space="0" w:color="auto" w:frame="1"/>
          <w:shd w:val="clear" w:color="auto" w:fill="FFFFFF"/>
        </w:rPr>
        <w:t>Interpreting Judean Pillar Figurines: Gender and Empire in Judean Apotropaic Ritual</w:t>
      </w:r>
      <w:r>
        <w:rPr>
          <w:rFonts w:ascii="Georgia" w:hAnsi="Georgia"/>
          <w:color w:val="000000"/>
          <w:sz w:val="23"/>
          <w:szCs w:val="23"/>
          <w:shd w:val="clear" w:color="auto" w:fill="FFFFFF"/>
        </w:rPr>
        <w:t xml:space="preserve"> Mohr </w:t>
      </w:r>
      <w:proofErr w:type="spellStart"/>
      <w:r>
        <w:rPr>
          <w:rFonts w:ascii="Georgia" w:hAnsi="Georgia"/>
          <w:color w:val="000000"/>
          <w:sz w:val="23"/>
          <w:szCs w:val="23"/>
          <w:shd w:val="clear" w:color="auto" w:fill="FFFFFF"/>
        </w:rPr>
        <w:t>Siebeck</w:t>
      </w:r>
      <w:proofErr w:type="spellEnd"/>
      <w:r>
        <w:rPr>
          <w:rFonts w:ascii="Georgia" w:hAnsi="Georgia"/>
          <w:color w:val="000000"/>
          <w:sz w:val="23"/>
          <w:szCs w:val="23"/>
          <w:shd w:val="clear" w:color="auto" w:fill="FFFFFF"/>
        </w:rPr>
        <w:t>.</w:t>
      </w:r>
    </w:p>
    <w:p w:rsidR="00BB4F1D" w:rsidRPr="00BB4F1D" w:rsidRDefault="00BB4F1D" w:rsidP="00314E7F">
      <w:pPr>
        <w:spacing w:after="0"/>
        <w:rPr>
          <w:rFonts w:ascii="Georgia" w:hAnsi="Georgia"/>
          <w:color w:val="000000"/>
          <w:sz w:val="23"/>
          <w:szCs w:val="23"/>
          <w:shd w:val="clear" w:color="auto" w:fill="FFFFFF"/>
        </w:rPr>
      </w:pPr>
      <w:proofErr w:type="spellStart"/>
      <w:r>
        <w:rPr>
          <w:rFonts w:ascii="Georgia" w:hAnsi="Georgia"/>
          <w:color w:val="000000"/>
          <w:sz w:val="23"/>
          <w:szCs w:val="23"/>
          <w:shd w:val="clear" w:color="auto" w:fill="FFFFFF"/>
        </w:rPr>
        <w:t>Dever</w:t>
      </w:r>
      <w:proofErr w:type="spellEnd"/>
      <w:r>
        <w:rPr>
          <w:rFonts w:ascii="Georgia" w:hAnsi="Georgia"/>
          <w:color w:val="000000"/>
          <w:sz w:val="23"/>
          <w:szCs w:val="23"/>
          <w:shd w:val="clear" w:color="auto" w:fill="FFFFFF"/>
        </w:rPr>
        <w:t xml:space="preserve">, William G. 2005. </w:t>
      </w:r>
      <w:r>
        <w:rPr>
          <w:rStyle w:val="Emphasis"/>
          <w:rFonts w:ascii="Georgia" w:hAnsi="Georgia"/>
          <w:color w:val="000000"/>
          <w:sz w:val="23"/>
          <w:szCs w:val="23"/>
          <w:bdr w:val="none" w:sz="0" w:space="0" w:color="auto" w:frame="1"/>
          <w:shd w:val="clear" w:color="auto" w:fill="FFFFFF"/>
        </w:rPr>
        <w:t xml:space="preserve">Did God Have a </w:t>
      </w:r>
      <w:proofErr w:type="gramStart"/>
      <w:r>
        <w:rPr>
          <w:rStyle w:val="Emphasis"/>
          <w:rFonts w:ascii="Georgia" w:hAnsi="Georgia"/>
          <w:color w:val="000000"/>
          <w:sz w:val="23"/>
          <w:szCs w:val="23"/>
          <w:bdr w:val="none" w:sz="0" w:space="0" w:color="auto" w:frame="1"/>
          <w:shd w:val="clear" w:color="auto" w:fill="FFFFFF"/>
        </w:rPr>
        <w:t>Wife?:</w:t>
      </w:r>
      <w:proofErr w:type="gramEnd"/>
      <w:r>
        <w:rPr>
          <w:rStyle w:val="Emphasis"/>
          <w:rFonts w:ascii="Georgia" w:hAnsi="Georgia"/>
          <w:color w:val="000000"/>
          <w:sz w:val="23"/>
          <w:szCs w:val="23"/>
          <w:bdr w:val="none" w:sz="0" w:space="0" w:color="auto" w:frame="1"/>
          <w:shd w:val="clear" w:color="auto" w:fill="FFFFFF"/>
        </w:rPr>
        <w:t xml:space="preserve"> Archaeology and Folk religion in Ancient Israel</w:t>
      </w:r>
      <w:r>
        <w:rPr>
          <w:rFonts w:ascii="Georgia" w:hAnsi="Georgia"/>
          <w:color w:val="000000"/>
          <w:sz w:val="23"/>
          <w:szCs w:val="23"/>
          <w:shd w:val="clear" w:color="auto" w:fill="FFFFFF"/>
        </w:rPr>
        <w:t xml:space="preserve">. Eerdmans </w:t>
      </w:r>
    </w:p>
    <w:p w:rsidR="00056503" w:rsidRDefault="00056503" w:rsidP="00314E7F">
      <w:pPr>
        <w:spacing w:after="0"/>
      </w:pPr>
      <w:r w:rsidRPr="00056503">
        <w:t>Finkelstein, Israel. The Archaeology of the Israelite Settlement.</w:t>
      </w:r>
      <w:r w:rsidR="00827C0B">
        <w:t xml:space="preserve"> Jerusalem, 1988.</w:t>
      </w:r>
    </w:p>
    <w:p w:rsidR="00827C0B" w:rsidRDefault="00827C0B" w:rsidP="00314E7F">
      <w:pPr>
        <w:spacing w:after="0"/>
      </w:pPr>
      <w:r>
        <w:t>Greener, Aaron</w:t>
      </w:r>
      <w:r w:rsidRPr="00827C0B">
        <w:t xml:space="preserve">. </w:t>
      </w:r>
      <w:r>
        <w:t xml:space="preserve">2018. </w:t>
      </w:r>
      <w:r w:rsidRPr="00827C0B">
        <w:t>What Are Clay Female Figurines Doing in Judah during the Biblical Period?</w:t>
      </w:r>
      <w:r>
        <w:t xml:space="preserve"> </w:t>
      </w:r>
      <w:hyperlink r:id="rId12" w:history="1">
        <w:r w:rsidR="00BB4F1D" w:rsidRPr="00B2505C">
          <w:rPr>
            <w:rStyle w:val="Hyperlink"/>
          </w:rPr>
          <w:t>https://thetorah.com/what-are-clay-female-figurines-doing-in-judah-during-the-biblical-period/</w:t>
        </w:r>
      </w:hyperlink>
    </w:p>
    <w:p w:rsidR="00BB4F1D" w:rsidRPr="00827C0B" w:rsidRDefault="00BB4F1D" w:rsidP="00314E7F">
      <w:pPr>
        <w:spacing w:after="0"/>
      </w:pPr>
      <w:proofErr w:type="spellStart"/>
      <w:r>
        <w:rPr>
          <w:rFonts w:ascii="Georgia" w:hAnsi="Georgia"/>
          <w:color w:val="000000"/>
          <w:sz w:val="23"/>
          <w:szCs w:val="23"/>
          <w:shd w:val="clear" w:color="auto" w:fill="FFFFFF"/>
        </w:rPr>
        <w:t>Kletter</w:t>
      </w:r>
      <w:proofErr w:type="spellEnd"/>
      <w:r>
        <w:rPr>
          <w:rFonts w:ascii="Georgia" w:hAnsi="Georgia"/>
          <w:color w:val="000000"/>
          <w:sz w:val="23"/>
          <w:szCs w:val="23"/>
          <w:shd w:val="clear" w:color="auto" w:fill="FFFFFF"/>
        </w:rPr>
        <w:t xml:space="preserve">, </w:t>
      </w:r>
      <w:proofErr w:type="spellStart"/>
      <w:proofErr w:type="gramStart"/>
      <w:r>
        <w:rPr>
          <w:rFonts w:ascii="Georgia" w:hAnsi="Georgia"/>
          <w:color w:val="000000"/>
          <w:sz w:val="23"/>
          <w:szCs w:val="23"/>
          <w:shd w:val="clear" w:color="auto" w:fill="FFFFFF"/>
        </w:rPr>
        <w:t>Raz</w:t>
      </w:r>
      <w:proofErr w:type="spellEnd"/>
      <w:r>
        <w:rPr>
          <w:rFonts w:ascii="Georgia" w:hAnsi="Georgia"/>
          <w:color w:val="000000"/>
          <w:sz w:val="23"/>
          <w:szCs w:val="23"/>
          <w:shd w:val="clear" w:color="auto" w:fill="FFFFFF"/>
        </w:rPr>
        <w:t xml:space="preserve"> .</w:t>
      </w:r>
      <w:proofErr w:type="gramEnd"/>
      <w:r>
        <w:rPr>
          <w:rFonts w:ascii="Georgia" w:hAnsi="Georgia"/>
          <w:color w:val="000000"/>
          <w:sz w:val="23"/>
          <w:szCs w:val="23"/>
          <w:shd w:val="clear" w:color="auto" w:fill="FFFFFF"/>
        </w:rPr>
        <w:t xml:space="preserve"> 1996. </w:t>
      </w:r>
      <w:r>
        <w:rPr>
          <w:rStyle w:val="Emphasis"/>
          <w:rFonts w:ascii="Georgia" w:hAnsi="Georgia"/>
          <w:color w:val="000000"/>
          <w:sz w:val="23"/>
          <w:szCs w:val="23"/>
          <w:bdr w:val="none" w:sz="0" w:space="0" w:color="auto" w:frame="1"/>
          <w:shd w:val="clear" w:color="auto" w:fill="FFFFFF"/>
        </w:rPr>
        <w:t xml:space="preserve">The Judean Pillar-Figurines and the Archaeology of </w:t>
      </w:r>
      <w:proofErr w:type="spellStart"/>
      <w:r>
        <w:rPr>
          <w:rStyle w:val="Emphasis"/>
          <w:rFonts w:ascii="Georgia" w:hAnsi="Georgia"/>
          <w:color w:val="000000"/>
          <w:sz w:val="23"/>
          <w:szCs w:val="23"/>
          <w:bdr w:val="none" w:sz="0" w:space="0" w:color="auto" w:frame="1"/>
          <w:shd w:val="clear" w:color="auto" w:fill="FFFFFF"/>
        </w:rPr>
        <w:t>Asherah</w:t>
      </w:r>
      <w:proofErr w:type="spellEnd"/>
      <w:r>
        <w:rPr>
          <w:rFonts w:ascii="Georgia" w:hAnsi="Georgia"/>
          <w:color w:val="000000"/>
          <w:sz w:val="23"/>
          <w:szCs w:val="23"/>
          <w:shd w:val="clear" w:color="auto" w:fill="FFFFFF"/>
        </w:rPr>
        <w:t>. Oxford.</w:t>
      </w:r>
    </w:p>
    <w:p w:rsidR="00056503" w:rsidRPr="00056503" w:rsidRDefault="00056503" w:rsidP="00056503">
      <w:proofErr w:type="spellStart"/>
      <w:r w:rsidRPr="00056503">
        <w:t>Weippert</w:t>
      </w:r>
      <w:proofErr w:type="spellEnd"/>
      <w:r w:rsidRPr="00056503">
        <w:t>, Manfred. The Settlement of the Israelite Tribes in Palestine.</w:t>
      </w:r>
      <w:r w:rsidR="00827C0B">
        <w:t xml:space="preserve"> </w:t>
      </w:r>
      <w:r w:rsidRPr="00056503">
        <w:t>Illinois, 197</w:t>
      </w:r>
      <w:r w:rsidR="00827C0B">
        <w:t>1</w:t>
      </w:r>
      <w:r w:rsidRPr="00056503">
        <w:t>.</w:t>
      </w:r>
    </w:p>
    <w:sectPr w:rsidR="00056503" w:rsidRPr="0005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03"/>
    <w:rsid w:val="00000A8B"/>
    <w:rsid w:val="00001B25"/>
    <w:rsid w:val="00002955"/>
    <w:rsid w:val="000029F6"/>
    <w:rsid w:val="0000311B"/>
    <w:rsid w:val="00004588"/>
    <w:rsid w:val="000051F5"/>
    <w:rsid w:val="0000541A"/>
    <w:rsid w:val="0000583D"/>
    <w:rsid w:val="000071AD"/>
    <w:rsid w:val="0000794B"/>
    <w:rsid w:val="00007A0B"/>
    <w:rsid w:val="00010426"/>
    <w:rsid w:val="00010A71"/>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03"/>
    <w:rsid w:val="000565EC"/>
    <w:rsid w:val="000569DB"/>
    <w:rsid w:val="00057591"/>
    <w:rsid w:val="0006067B"/>
    <w:rsid w:val="00060AA2"/>
    <w:rsid w:val="00061034"/>
    <w:rsid w:val="00063450"/>
    <w:rsid w:val="000636BF"/>
    <w:rsid w:val="00064B15"/>
    <w:rsid w:val="00067380"/>
    <w:rsid w:val="000679F9"/>
    <w:rsid w:val="00070E39"/>
    <w:rsid w:val="00071E45"/>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81E"/>
    <w:rsid w:val="000E7A92"/>
    <w:rsid w:val="000F0388"/>
    <w:rsid w:val="000F03FC"/>
    <w:rsid w:val="000F0831"/>
    <w:rsid w:val="000F1237"/>
    <w:rsid w:val="000F27BF"/>
    <w:rsid w:val="000F34E5"/>
    <w:rsid w:val="000F3728"/>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4A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3B80"/>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D3D"/>
    <w:rsid w:val="00196E3F"/>
    <w:rsid w:val="00197505"/>
    <w:rsid w:val="00197CF2"/>
    <w:rsid w:val="001A1312"/>
    <w:rsid w:val="001A136E"/>
    <w:rsid w:val="001A1458"/>
    <w:rsid w:val="001A16F7"/>
    <w:rsid w:val="001A3021"/>
    <w:rsid w:val="001A351F"/>
    <w:rsid w:val="001A3654"/>
    <w:rsid w:val="001A365C"/>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6A68"/>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5064"/>
    <w:rsid w:val="00235677"/>
    <w:rsid w:val="00237702"/>
    <w:rsid w:val="0023785F"/>
    <w:rsid w:val="00237BDF"/>
    <w:rsid w:val="0024007D"/>
    <w:rsid w:val="00241B12"/>
    <w:rsid w:val="00244178"/>
    <w:rsid w:val="002443A7"/>
    <w:rsid w:val="00244A57"/>
    <w:rsid w:val="00245955"/>
    <w:rsid w:val="00245C9F"/>
    <w:rsid w:val="00246CF5"/>
    <w:rsid w:val="002507D6"/>
    <w:rsid w:val="0025345A"/>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267"/>
    <w:rsid w:val="00272888"/>
    <w:rsid w:val="002736F0"/>
    <w:rsid w:val="00273E90"/>
    <w:rsid w:val="0027520E"/>
    <w:rsid w:val="00276599"/>
    <w:rsid w:val="00276DA4"/>
    <w:rsid w:val="0027723A"/>
    <w:rsid w:val="0027773C"/>
    <w:rsid w:val="00280449"/>
    <w:rsid w:val="0028050A"/>
    <w:rsid w:val="00280CF6"/>
    <w:rsid w:val="00281DEC"/>
    <w:rsid w:val="002828B9"/>
    <w:rsid w:val="0028457F"/>
    <w:rsid w:val="002859EF"/>
    <w:rsid w:val="00286106"/>
    <w:rsid w:val="00286878"/>
    <w:rsid w:val="00287117"/>
    <w:rsid w:val="00290842"/>
    <w:rsid w:val="002915BB"/>
    <w:rsid w:val="00292C68"/>
    <w:rsid w:val="002935C4"/>
    <w:rsid w:val="00295171"/>
    <w:rsid w:val="00295224"/>
    <w:rsid w:val="00295F84"/>
    <w:rsid w:val="002971D6"/>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5C1"/>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618F"/>
    <w:rsid w:val="002C6560"/>
    <w:rsid w:val="002C6B8A"/>
    <w:rsid w:val="002C7A68"/>
    <w:rsid w:val="002D0F4D"/>
    <w:rsid w:val="002D136F"/>
    <w:rsid w:val="002D2732"/>
    <w:rsid w:val="002D564C"/>
    <w:rsid w:val="002D61A6"/>
    <w:rsid w:val="002D62F5"/>
    <w:rsid w:val="002D667A"/>
    <w:rsid w:val="002D71BE"/>
    <w:rsid w:val="002D7B89"/>
    <w:rsid w:val="002E0FA2"/>
    <w:rsid w:val="002E1B21"/>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4E7F"/>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2B1A"/>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80C"/>
    <w:rsid w:val="003F499F"/>
    <w:rsid w:val="003F4BD0"/>
    <w:rsid w:val="003F68F2"/>
    <w:rsid w:val="0040068A"/>
    <w:rsid w:val="00400B47"/>
    <w:rsid w:val="00401B4F"/>
    <w:rsid w:val="0040209D"/>
    <w:rsid w:val="0040218D"/>
    <w:rsid w:val="00402D86"/>
    <w:rsid w:val="00403EEA"/>
    <w:rsid w:val="004049D2"/>
    <w:rsid w:val="00405677"/>
    <w:rsid w:val="0040585E"/>
    <w:rsid w:val="00405898"/>
    <w:rsid w:val="0040589F"/>
    <w:rsid w:val="00405957"/>
    <w:rsid w:val="00405F75"/>
    <w:rsid w:val="00406E32"/>
    <w:rsid w:val="004075CC"/>
    <w:rsid w:val="0041027E"/>
    <w:rsid w:val="00410F55"/>
    <w:rsid w:val="00413687"/>
    <w:rsid w:val="004138DD"/>
    <w:rsid w:val="00413A2C"/>
    <w:rsid w:val="00414AA7"/>
    <w:rsid w:val="0041771B"/>
    <w:rsid w:val="00417F59"/>
    <w:rsid w:val="004210D1"/>
    <w:rsid w:val="004211DE"/>
    <w:rsid w:val="00424A31"/>
    <w:rsid w:val="00426BDC"/>
    <w:rsid w:val="0043112F"/>
    <w:rsid w:val="004315A0"/>
    <w:rsid w:val="00432817"/>
    <w:rsid w:val="00432C23"/>
    <w:rsid w:val="00432E9C"/>
    <w:rsid w:val="00433F94"/>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B0219"/>
    <w:rsid w:val="004B03BC"/>
    <w:rsid w:val="004B0E68"/>
    <w:rsid w:val="004B1FE9"/>
    <w:rsid w:val="004B2235"/>
    <w:rsid w:val="004B2736"/>
    <w:rsid w:val="004B3375"/>
    <w:rsid w:val="004B3AB2"/>
    <w:rsid w:val="004B44C1"/>
    <w:rsid w:val="004B4AE0"/>
    <w:rsid w:val="004B572D"/>
    <w:rsid w:val="004B57CE"/>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593C"/>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3AA"/>
    <w:rsid w:val="00513F9E"/>
    <w:rsid w:val="00514190"/>
    <w:rsid w:val="00515AC7"/>
    <w:rsid w:val="005167DE"/>
    <w:rsid w:val="00516B30"/>
    <w:rsid w:val="00516DDE"/>
    <w:rsid w:val="00517E62"/>
    <w:rsid w:val="0052008C"/>
    <w:rsid w:val="00521D2F"/>
    <w:rsid w:val="0052249C"/>
    <w:rsid w:val="00523024"/>
    <w:rsid w:val="00526AB5"/>
    <w:rsid w:val="00526ADD"/>
    <w:rsid w:val="00526E94"/>
    <w:rsid w:val="00526F36"/>
    <w:rsid w:val="00530F1F"/>
    <w:rsid w:val="00532764"/>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3E9"/>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3D5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271A"/>
    <w:rsid w:val="00673ED2"/>
    <w:rsid w:val="006741E9"/>
    <w:rsid w:val="00675059"/>
    <w:rsid w:val="0067610B"/>
    <w:rsid w:val="006762AD"/>
    <w:rsid w:val="00677A52"/>
    <w:rsid w:val="00680EA0"/>
    <w:rsid w:val="006814CB"/>
    <w:rsid w:val="00682054"/>
    <w:rsid w:val="006841E3"/>
    <w:rsid w:val="0068596F"/>
    <w:rsid w:val="0068769B"/>
    <w:rsid w:val="0069044F"/>
    <w:rsid w:val="00690474"/>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CF4"/>
    <w:rsid w:val="006D5E71"/>
    <w:rsid w:val="006D6DE5"/>
    <w:rsid w:val="006E0D1B"/>
    <w:rsid w:val="006E24BC"/>
    <w:rsid w:val="006E24FA"/>
    <w:rsid w:val="006E26D2"/>
    <w:rsid w:val="006E4150"/>
    <w:rsid w:val="006E50E1"/>
    <w:rsid w:val="006E6804"/>
    <w:rsid w:val="006E6DF9"/>
    <w:rsid w:val="006E763F"/>
    <w:rsid w:val="006E787E"/>
    <w:rsid w:val="006E7DA6"/>
    <w:rsid w:val="006F1BC9"/>
    <w:rsid w:val="006F1C3A"/>
    <w:rsid w:val="006F2196"/>
    <w:rsid w:val="006F3339"/>
    <w:rsid w:val="006F3C3B"/>
    <w:rsid w:val="006F3D11"/>
    <w:rsid w:val="006F4685"/>
    <w:rsid w:val="006F473C"/>
    <w:rsid w:val="006F773E"/>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F09"/>
    <w:rsid w:val="00785A24"/>
    <w:rsid w:val="00786320"/>
    <w:rsid w:val="007874F4"/>
    <w:rsid w:val="00787C6D"/>
    <w:rsid w:val="00790173"/>
    <w:rsid w:val="00791416"/>
    <w:rsid w:val="0079218E"/>
    <w:rsid w:val="00794901"/>
    <w:rsid w:val="007955C7"/>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3BD0"/>
    <w:rsid w:val="007D4AE0"/>
    <w:rsid w:val="007D4BF7"/>
    <w:rsid w:val="007D73AD"/>
    <w:rsid w:val="007D7C06"/>
    <w:rsid w:val="007E05A8"/>
    <w:rsid w:val="007E1176"/>
    <w:rsid w:val="007E1BE2"/>
    <w:rsid w:val="007E249C"/>
    <w:rsid w:val="007E25CA"/>
    <w:rsid w:val="007E4F05"/>
    <w:rsid w:val="007E53CD"/>
    <w:rsid w:val="007E5A0A"/>
    <w:rsid w:val="007E64B0"/>
    <w:rsid w:val="007E6D0E"/>
    <w:rsid w:val="007E7BF0"/>
    <w:rsid w:val="007F0386"/>
    <w:rsid w:val="007F03D3"/>
    <w:rsid w:val="007F049F"/>
    <w:rsid w:val="007F08D2"/>
    <w:rsid w:val="007F1058"/>
    <w:rsid w:val="007F2F2F"/>
    <w:rsid w:val="007F328F"/>
    <w:rsid w:val="007F4B58"/>
    <w:rsid w:val="007F56A5"/>
    <w:rsid w:val="007F5EDA"/>
    <w:rsid w:val="00802ED1"/>
    <w:rsid w:val="00803893"/>
    <w:rsid w:val="0080501F"/>
    <w:rsid w:val="00807DC1"/>
    <w:rsid w:val="00810912"/>
    <w:rsid w:val="008118BE"/>
    <w:rsid w:val="00812C73"/>
    <w:rsid w:val="00812F67"/>
    <w:rsid w:val="008130B6"/>
    <w:rsid w:val="00816564"/>
    <w:rsid w:val="00817D3B"/>
    <w:rsid w:val="00824849"/>
    <w:rsid w:val="00824D87"/>
    <w:rsid w:val="00824E2F"/>
    <w:rsid w:val="008259FB"/>
    <w:rsid w:val="00825D3F"/>
    <w:rsid w:val="008272B7"/>
    <w:rsid w:val="008272D0"/>
    <w:rsid w:val="00827601"/>
    <w:rsid w:val="00827C0B"/>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29E7"/>
    <w:rsid w:val="0089303B"/>
    <w:rsid w:val="008935F2"/>
    <w:rsid w:val="00893734"/>
    <w:rsid w:val="0089379E"/>
    <w:rsid w:val="00895033"/>
    <w:rsid w:val="00897104"/>
    <w:rsid w:val="008A244E"/>
    <w:rsid w:val="008A268A"/>
    <w:rsid w:val="008A2CEA"/>
    <w:rsid w:val="008A3572"/>
    <w:rsid w:val="008A3FB8"/>
    <w:rsid w:val="008A4B77"/>
    <w:rsid w:val="008A4C81"/>
    <w:rsid w:val="008A5FFE"/>
    <w:rsid w:val="008A7BEC"/>
    <w:rsid w:val="008A7D82"/>
    <w:rsid w:val="008B0CC5"/>
    <w:rsid w:val="008B24CD"/>
    <w:rsid w:val="008B3659"/>
    <w:rsid w:val="008B383C"/>
    <w:rsid w:val="008B4B63"/>
    <w:rsid w:val="008B5348"/>
    <w:rsid w:val="008B5B95"/>
    <w:rsid w:val="008B6465"/>
    <w:rsid w:val="008B6A70"/>
    <w:rsid w:val="008C0A5E"/>
    <w:rsid w:val="008C3770"/>
    <w:rsid w:val="008C3D33"/>
    <w:rsid w:val="008C47FE"/>
    <w:rsid w:val="008C4C70"/>
    <w:rsid w:val="008C6159"/>
    <w:rsid w:val="008C698A"/>
    <w:rsid w:val="008D04E5"/>
    <w:rsid w:val="008D082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30EF"/>
    <w:rsid w:val="00903928"/>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52A"/>
    <w:rsid w:val="00982736"/>
    <w:rsid w:val="00984361"/>
    <w:rsid w:val="00985B2C"/>
    <w:rsid w:val="0098730F"/>
    <w:rsid w:val="00990905"/>
    <w:rsid w:val="009936B3"/>
    <w:rsid w:val="00993E39"/>
    <w:rsid w:val="00994028"/>
    <w:rsid w:val="00994034"/>
    <w:rsid w:val="009942B3"/>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4359"/>
    <w:rsid w:val="00A156BC"/>
    <w:rsid w:val="00A15BC9"/>
    <w:rsid w:val="00A1640D"/>
    <w:rsid w:val="00A167F8"/>
    <w:rsid w:val="00A16DE7"/>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E2C"/>
    <w:rsid w:val="00A57FD3"/>
    <w:rsid w:val="00A606FB"/>
    <w:rsid w:val="00A6174D"/>
    <w:rsid w:val="00A635C1"/>
    <w:rsid w:val="00A6458F"/>
    <w:rsid w:val="00A64A90"/>
    <w:rsid w:val="00A66EEE"/>
    <w:rsid w:val="00A70EEC"/>
    <w:rsid w:val="00A71DFC"/>
    <w:rsid w:val="00A72492"/>
    <w:rsid w:val="00A72B96"/>
    <w:rsid w:val="00A76AC0"/>
    <w:rsid w:val="00A76CA7"/>
    <w:rsid w:val="00A7710A"/>
    <w:rsid w:val="00A77B2D"/>
    <w:rsid w:val="00A8032A"/>
    <w:rsid w:val="00A837BF"/>
    <w:rsid w:val="00A848D2"/>
    <w:rsid w:val="00A84D3C"/>
    <w:rsid w:val="00A855E3"/>
    <w:rsid w:val="00A85A84"/>
    <w:rsid w:val="00A86970"/>
    <w:rsid w:val="00A869CB"/>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35B"/>
    <w:rsid w:val="00AB2706"/>
    <w:rsid w:val="00AB3617"/>
    <w:rsid w:val="00AB387D"/>
    <w:rsid w:val="00AB421C"/>
    <w:rsid w:val="00AB430B"/>
    <w:rsid w:val="00AB4664"/>
    <w:rsid w:val="00AB46DA"/>
    <w:rsid w:val="00AB5331"/>
    <w:rsid w:val="00AB6D50"/>
    <w:rsid w:val="00AB70CB"/>
    <w:rsid w:val="00AB7D01"/>
    <w:rsid w:val="00AC07D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819"/>
    <w:rsid w:val="00AF0CAB"/>
    <w:rsid w:val="00AF1656"/>
    <w:rsid w:val="00AF1A62"/>
    <w:rsid w:val="00AF1B5C"/>
    <w:rsid w:val="00AF236F"/>
    <w:rsid w:val="00AF2711"/>
    <w:rsid w:val="00AF2EE3"/>
    <w:rsid w:val="00AF46BE"/>
    <w:rsid w:val="00AF5627"/>
    <w:rsid w:val="00AF6525"/>
    <w:rsid w:val="00AF6664"/>
    <w:rsid w:val="00B004B4"/>
    <w:rsid w:val="00B00C15"/>
    <w:rsid w:val="00B01B20"/>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47CA8"/>
    <w:rsid w:val="00B5035B"/>
    <w:rsid w:val="00B51BBA"/>
    <w:rsid w:val="00B53071"/>
    <w:rsid w:val="00B531B5"/>
    <w:rsid w:val="00B53A50"/>
    <w:rsid w:val="00B5407E"/>
    <w:rsid w:val="00B5423C"/>
    <w:rsid w:val="00B5503D"/>
    <w:rsid w:val="00B55317"/>
    <w:rsid w:val="00B55BF3"/>
    <w:rsid w:val="00B56BE6"/>
    <w:rsid w:val="00B56D4C"/>
    <w:rsid w:val="00B56D6B"/>
    <w:rsid w:val="00B56F54"/>
    <w:rsid w:val="00B6256D"/>
    <w:rsid w:val="00B62F14"/>
    <w:rsid w:val="00B6440F"/>
    <w:rsid w:val="00B648E5"/>
    <w:rsid w:val="00B65F18"/>
    <w:rsid w:val="00B70A8E"/>
    <w:rsid w:val="00B71586"/>
    <w:rsid w:val="00B71668"/>
    <w:rsid w:val="00B72484"/>
    <w:rsid w:val="00B72CFC"/>
    <w:rsid w:val="00B736D3"/>
    <w:rsid w:val="00B74D7B"/>
    <w:rsid w:val="00B7618E"/>
    <w:rsid w:val="00B76756"/>
    <w:rsid w:val="00B80F91"/>
    <w:rsid w:val="00B81064"/>
    <w:rsid w:val="00B81742"/>
    <w:rsid w:val="00B82DEB"/>
    <w:rsid w:val="00B830C5"/>
    <w:rsid w:val="00B8382C"/>
    <w:rsid w:val="00B84208"/>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417"/>
    <w:rsid w:val="00BA6DF9"/>
    <w:rsid w:val="00BB08A1"/>
    <w:rsid w:val="00BB09D0"/>
    <w:rsid w:val="00BB1936"/>
    <w:rsid w:val="00BB44E3"/>
    <w:rsid w:val="00BB4F1D"/>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3D02"/>
    <w:rsid w:val="00C153D6"/>
    <w:rsid w:val="00C15F02"/>
    <w:rsid w:val="00C207EF"/>
    <w:rsid w:val="00C20953"/>
    <w:rsid w:val="00C2145E"/>
    <w:rsid w:val="00C227B1"/>
    <w:rsid w:val="00C228EE"/>
    <w:rsid w:val="00C23412"/>
    <w:rsid w:val="00C24578"/>
    <w:rsid w:val="00C265A3"/>
    <w:rsid w:val="00C271D3"/>
    <w:rsid w:val="00C27308"/>
    <w:rsid w:val="00C3133D"/>
    <w:rsid w:val="00C31802"/>
    <w:rsid w:val="00C32193"/>
    <w:rsid w:val="00C32F26"/>
    <w:rsid w:val="00C34618"/>
    <w:rsid w:val="00C35779"/>
    <w:rsid w:val="00C35F80"/>
    <w:rsid w:val="00C36246"/>
    <w:rsid w:val="00C37102"/>
    <w:rsid w:val="00C3715C"/>
    <w:rsid w:val="00C4011E"/>
    <w:rsid w:val="00C434CD"/>
    <w:rsid w:val="00C44B2A"/>
    <w:rsid w:val="00C45118"/>
    <w:rsid w:val="00C4658F"/>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8A8"/>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2117"/>
    <w:rsid w:val="00C842AB"/>
    <w:rsid w:val="00C8441C"/>
    <w:rsid w:val="00C8486F"/>
    <w:rsid w:val="00C85921"/>
    <w:rsid w:val="00C85B52"/>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4702"/>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66F3"/>
    <w:rsid w:val="00D17B49"/>
    <w:rsid w:val="00D22714"/>
    <w:rsid w:val="00D23B6C"/>
    <w:rsid w:val="00D245B5"/>
    <w:rsid w:val="00D24C23"/>
    <w:rsid w:val="00D25942"/>
    <w:rsid w:val="00D3001A"/>
    <w:rsid w:val="00D317BA"/>
    <w:rsid w:val="00D35951"/>
    <w:rsid w:val="00D36A3B"/>
    <w:rsid w:val="00D373A7"/>
    <w:rsid w:val="00D3752A"/>
    <w:rsid w:val="00D40C67"/>
    <w:rsid w:val="00D42D24"/>
    <w:rsid w:val="00D430AC"/>
    <w:rsid w:val="00D4369B"/>
    <w:rsid w:val="00D43922"/>
    <w:rsid w:val="00D43AFA"/>
    <w:rsid w:val="00D44BA0"/>
    <w:rsid w:val="00D476E6"/>
    <w:rsid w:val="00D47D13"/>
    <w:rsid w:val="00D50967"/>
    <w:rsid w:val="00D528B8"/>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86421"/>
    <w:rsid w:val="00D90A64"/>
    <w:rsid w:val="00D90BEA"/>
    <w:rsid w:val="00D913F2"/>
    <w:rsid w:val="00D925BC"/>
    <w:rsid w:val="00D95B2B"/>
    <w:rsid w:val="00D95D21"/>
    <w:rsid w:val="00D96C98"/>
    <w:rsid w:val="00D96F40"/>
    <w:rsid w:val="00D9786D"/>
    <w:rsid w:val="00DA001D"/>
    <w:rsid w:val="00DA05AC"/>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2933"/>
    <w:rsid w:val="00DC37C6"/>
    <w:rsid w:val="00DC5202"/>
    <w:rsid w:val="00DC6845"/>
    <w:rsid w:val="00DC7444"/>
    <w:rsid w:val="00DD2131"/>
    <w:rsid w:val="00DD3895"/>
    <w:rsid w:val="00DD60F9"/>
    <w:rsid w:val="00DD6791"/>
    <w:rsid w:val="00DD6DB6"/>
    <w:rsid w:val="00DD705D"/>
    <w:rsid w:val="00DD7416"/>
    <w:rsid w:val="00DE5A18"/>
    <w:rsid w:val="00DE7F55"/>
    <w:rsid w:val="00DF04FB"/>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0663"/>
    <w:rsid w:val="00E7189D"/>
    <w:rsid w:val="00E72D8B"/>
    <w:rsid w:val="00E74C63"/>
    <w:rsid w:val="00E74D59"/>
    <w:rsid w:val="00E759AF"/>
    <w:rsid w:val="00E75FC7"/>
    <w:rsid w:val="00E7744B"/>
    <w:rsid w:val="00E77838"/>
    <w:rsid w:val="00E80020"/>
    <w:rsid w:val="00E80BA9"/>
    <w:rsid w:val="00E828B2"/>
    <w:rsid w:val="00E82913"/>
    <w:rsid w:val="00E82A42"/>
    <w:rsid w:val="00E83AEE"/>
    <w:rsid w:val="00E83FF6"/>
    <w:rsid w:val="00E84529"/>
    <w:rsid w:val="00E846F5"/>
    <w:rsid w:val="00E868B6"/>
    <w:rsid w:val="00E912A7"/>
    <w:rsid w:val="00E91D5E"/>
    <w:rsid w:val="00E93C89"/>
    <w:rsid w:val="00E9478C"/>
    <w:rsid w:val="00E96797"/>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14E"/>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A84"/>
    <w:rsid w:val="00EE3BE8"/>
    <w:rsid w:val="00EE3D86"/>
    <w:rsid w:val="00EE3E64"/>
    <w:rsid w:val="00EE574A"/>
    <w:rsid w:val="00EF0A3E"/>
    <w:rsid w:val="00EF0D3D"/>
    <w:rsid w:val="00EF3308"/>
    <w:rsid w:val="00EF4C88"/>
    <w:rsid w:val="00EF4FEC"/>
    <w:rsid w:val="00EF5F14"/>
    <w:rsid w:val="00EF654E"/>
    <w:rsid w:val="00EF66F4"/>
    <w:rsid w:val="00EF67F8"/>
    <w:rsid w:val="00EF68B1"/>
    <w:rsid w:val="00EF6F19"/>
    <w:rsid w:val="00EF709F"/>
    <w:rsid w:val="00EF7F5B"/>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08F"/>
    <w:rsid w:val="00F5564F"/>
    <w:rsid w:val="00F55B4C"/>
    <w:rsid w:val="00F56CBB"/>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6BD"/>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5540"/>
  <w15:chartTrackingRefBased/>
  <w15:docId w15:val="{27B5BA4B-C68D-467C-B0B9-E512666E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36"/>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56503"/>
    <w:rPr>
      <w:b/>
      <w:bCs/>
    </w:rPr>
  </w:style>
  <w:style w:type="character" w:customStyle="1" w:styleId="s1">
    <w:name w:val="s1"/>
    <w:basedOn w:val="DefaultParagraphFont"/>
    <w:rsid w:val="00056503"/>
  </w:style>
  <w:style w:type="paragraph" w:styleId="HTMLPreformatted">
    <w:name w:val="HTML Preformatted"/>
    <w:basedOn w:val="Normal"/>
    <w:link w:val="HTMLPreformattedChar"/>
    <w:uiPriority w:val="99"/>
    <w:semiHidden/>
    <w:unhideWhenUsed/>
    <w:rsid w:val="00056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56503"/>
    <w:rPr>
      <w:rFonts w:ascii="Courier New" w:eastAsia="Times New Roman" w:hAnsi="Courier New" w:cs="Courier New"/>
      <w:kern w:val="0"/>
      <w:sz w:val="20"/>
      <w:szCs w:val="20"/>
    </w:rPr>
  </w:style>
  <w:style w:type="paragraph" w:styleId="NormalWeb">
    <w:name w:val="Normal (Web)"/>
    <w:basedOn w:val="Normal"/>
    <w:uiPriority w:val="99"/>
    <w:semiHidden/>
    <w:unhideWhenUsed/>
    <w:rsid w:val="00827C0B"/>
    <w:pPr>
      <w:spacing w:before="100" w:beforeAutospacing="1" w:after="100" w:afterAutospacing="1" w:line="240" w:lineRule="auto"/>
    </w:pPr>
    <w:rPr>
      <w:rFonts w:eastAsia="Times New Roman"/>
      <w:kern w:val="0"/>
    </w:rPr>
  </w:style>
  <w:style w:type="character" w:styleId="Emphasis">
    <w:name w:val="Emphasis"/>
    <w:basedOn w:val="DefaultParagraphFont"/>
    <w:uiPriority w:val="20"/>
    <w:qFormat/>
    <w:rsid w:val="00827C0B"/>
    <w:rPr>
      <w:i/>
      <w:iCs/>
    </w:rPr>
  </w:style>
  <w:style w:type="character" w:styleId="Hyperlink">
    <w:name w:val="Hyperlink"/>
    <w:basedOn w:val="DefaultParagraphFont"/>
    <w:uiPriority w:val="99"/>
    <w:unhideWhenUsed/>
    <w:rsid w:val="00827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4377">
      <w:bodyDiv w:val="1"/>
      <w:marLeft w:val="0"/>
      <w:marRight w:val="0"/>
      <w:marTop w:val="0"/>
      <w:marBottom w:val="0"/>
      <w:divBdr>
        <w:top w:val="none" w:sz="0" w:space="0" w:color="auto"/>
        <w:left w:val="none" w:sz="0" w:space="0" w:color="auto"/>
        <w:bottom w:val="none" w:sz="0" w:space="0" w:color="auto"/>
        <w:right w:val="none" w:sz="0" w:space="0" w:color="auto"/>
      </w:divBdr>
    </w:div>
    <w:div w:id="283780470">
      <w:bodyDiv w:val="1"/>
      <w:marLeft w:val="0"/>
      <w:marRight w:val="0"/>
      <w:marTop w:val="0"/>
      <w:marBottom w:val="0"/>
      <w:divBdr>
        <w:top w:val="none" w:sz="0" w:space="0" w:color="auto"/>
        <w:left w:val="none" w:sz="0" w:space="0" w:color="auto"/>
        <w:bottom w:val="none" w:sz="0" w:space="0" w:color="auto"/>
        <w:right w:val="none" w:sz="0" w:space="0" w:color="auto"/>
      </w:divBdr>
      <w:divsChild>
        <w:div w:id="937493126">
          <w:marLeft w:val="0"/>
          <w:marRight w:val="0"/>
          <w:marTop w:val="0"/>
          <w:marBottom w:val="0"/>
          <w:divBdr>
            <w:top w:val="none" w:sz="0" w:space="0" w:color="auto"/>
            <w:left w:val="none" w:sz="0" w:space="0" w:color="auto"/>
            <w:bottom w:val="none" w:sz="0" w:space="0" w:color="auto"/>
            <w:right w:val="none" w:sz="0" w:space="0" w:color="auto"/>
          </w:divBdr>
        </w:div>
        <w:div w:id="860508764">
          <w:marLeft w:val="0"/>
          <w:marRight w:val="0"/>
          <w:marTop w:val="0"/>
          <w:marBottom w:val="0"/>
          <w:divBdr>
            <w:top w:val="none" w:sz="0" w:space="0" w:color="auto"/>
            <w:left w:val="none" w:sz="0" w:space="0" w:color="auto"/>
            <w:bottom w:val="none" w:sz="0" w:space="0" w:color="auto"/>
            <w:right w:val="none" w:sz="0" w:space="0" w:color="auto"/>
          </w:divBdr>
        </w:div>
      </w:divsChild>
    </w:div>
    <w:div w:id="20082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DOCUME~1/ADMINI~1/LOCALS~1/Temp/scl3.jpg" TargetMode="External"/><Relationship Id="rId12" Type="http://schemas.openxmlformats.org/officeDocument/2006/relationships/hyperlink" Target="https://thetorah.com/what-are-clay-female-figurines-doing-in-judah-during-the-biblical-peri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DOCUME~1/ADMINI~1/LOCALS~1/Temp/scl7.jpg" TargetMode="External"/><Relationship Id="rId5" Type="http://schemas.openxmlformats.org/officeDocument/2006/relationships/image" Target="../../../../DOCUME~1/ADMINI~1/LOCALS~1/Temp/scl1.jpg"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DOCUME~1/ADMINI~1/LOCALS~1/Temp/scl9.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2019-01-26T13:27:00Z</dcterms:created>
  <dcterms:modified xsi:type="dcterms:W3CDTF">2019-01-26T14:09:00Z</dcterms:modified>
</cp:coreProperties>
</file>