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3D2" w:rsidRDefault="00D719CC" w:rsidP="00D719CC">
      <w:pPr>
        <w:spacing w:after="0"/>
      </w:pPr>
      <w:bookmarkStart w:id="0" w:name="_GoBack"/>
      <w:r>
        <w:t>Case 8-A49</w:t>
      </w:r>
      <w:r w:rsidR="002B055A">
        <w:t>3</w:t>
      </w:r>
      <w:r>
        <w:t>-Can-Vancouver Is-</w:t>
      </w:r>
      <w:proofErr w:type="spellStart"/>
      <w:r>
        <w:t>Kwakwaka'wakw</w:t>
      </w:r>
      <w:proofErr w:type="spellEnd"/>
      <w:r>
        <w:t xml:space="preserve">-Fisherman’s Net </w:t>
      </w:r>
      <w:r w:rsidR="005473D2">
        <w:t>Mask-Wood-</w:t>
      </w:r>
      <w:r>
        <w:t>1960</w:t>
      </w:r>
      <w:bookmarkEnd w:id="0"/>
    </w:p>
    <w:p w:rsidR="005473D2" w:rsidRDefault="002B055A">
      <w:r>
        <w:rPr>
          <w:noProof/>
        </w:rPr>
        <w:drawing>
          <wp:inline distT="0" distB="0" distL="0" distR="0" wp14:anchorId="1D70A9A5" wp14:editId="0628EF58">
            <wp:extent cx="2971800" cy="4074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73913" cy="4077257"/>
                    </a:xfrm>
                    <a:prstGeom prst="rect">
                      <a:avLst/>
                    </a:prstGeom>
                  </pic:spPr>
                </pic:pic>
              </a:graphicData>
            </a:graphic>
          </wp:inline>
        </w:drawing>
      </w:r>
      <w:r w:rsidRPr="00EF27E9">
        <w:rPr>
          <w:noProof/>
        </w:rPr>
        <w:t xml:space="preserve"> </w:t>
      </w:r>
      <w:r>
        <w:rPr>
          <w:noProof/>
        </w:rPr>
        <w:drawing>
          <wp:inline distT="0" distB="0" distL="0" distR="0" wp14:anchorId="6B72B29F" wp14:editId="2A3B6BAF">
            <wp:extent cx="2582602" cy="3047171"/>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7567" cy="3053029"/>
                    </a:xfrm>
                    <a:prstGeom prst="rect">
                      <a:avLst/>
                    </a:prstGeom>
                  </pic:spPr>
                </pic:pic>
              </a:graphicData>
            </a:graphic>
          </wp:inline>
        </w:drawing>
      </w:r>
    </w:p>
    <w:p w:rsidR="00A413E4" w:rsidRDefault="00A413E4" w:rsidP="00A413E4">
      <w:pPr>
        <w:spacing w:after="0"/>
        <w:rPr>
          <w:rStyle w:val="Strong"/>
        </w:rPr>
      </w:pPr>
      <w:r>
        <w:t xml:space="preserve">Figs. 1-2. </w:t>
      </w:r>
      <w:r w:rsidR="00D719CC">
        <w:t>Can-Vancouver Is-</w:t>
      </w:r>
      <w:proofErr w:type="spellStart"/>
      <w:r w:rsidR="00D719CC">
        <w:t>Kwakwaka'wakw</w:t>
      </w:r>
      <w:proofErr w:type="spellEnd"/>
      <w:r w:rsidR="00D719CC">
        <w:t>-Fisherman’s Net Mask-Wood-1960</w:t>
      </w:r>
      <w:r>
        <w:rPr>
          <w:rStyle w:val="Strong"/>
        </w:rPr>
        <w:t xml:space="preserve">Case no.: </w:t>
      </w:r>
      <w:r w:rsidRPr="003C0E06">
        <w:rPr>
          <w:rStyle w:val="Strong"/>
        </w:rPr>
        <w:t>8</w:t>
      </w:r>
    </w:p>
    <w:p w:rsidR="00A413E4" w:rsidRDefault="00A413E4" w:rsidP="00A413E4">
      <w:pPr>
        <w:spacing w:after="0"/>
        <w:rPr>
          <w:rStyle w:val="Strong"/>
        </w:rPr>
      </w:pPr>
      <w:r>
        <w:rPr>
          <w:rStyle w:val="Strong"/>
        </w:rPr>
        <w:t xml:space="preserve">Accession Number: </w:t>
      </w:r>
    </w:p>
    <w:p w:rsidR="00A413E4" w:rsidRDefault="00A413E4" w:rsidP="00A413E4">
      <w:pPr>
        <w:spacing w:after="0"/>
        <w:rPr>
          <w:b/>
          <w:bCs/>
        </w:rPr>
      </w:pPr>
      <w:r>
        <w:rPr>
          <w:rStyle w:val="Strong"/>
        </w:rPr>
        <w:t xml:space="preserve">Formal Label: </w:t>
      </w:r>
      <w:r w:rsidR="00D719CC">
        <w:t>Can-Vancouver Is-</w:t>
      </w:r>
      <w:proofErr w:type="spellStart"/>
      <w:r w:rsidR="00D719CC">
        <w:t>Kwakwaka'wakw</w:t>
      </w:r>
      <w:proofErr w:type="spellEnd"/>
      <w:r w:rsidR="00D719CC">
        <w:t>-Fisherman’s Net Mask-Wood-1960</w:t>
      </w:r>
      <w:r w:rsidRPr="00ED4BF3">
        <w:rPr>
          <w:b/>
          <w:bCs/>
        </w:rPr>
        <w:t>Display Description:</w:t>
      </w:r>
    </w:p>
    <w:p w:rsidR="00D719CC" w:rsidRPr="00D719CC" w:rsidRDefault="00D719CC" w:rsidP="00A413E4">
      <w:pPr>
        <w:spacing w:after="0"/>
        <w:rPr>
          <w:bCs/>
        </w:rPr>
      </w:pPr>
      <w:r w:rsidRPr="00D719CC">
        <w:rPr>
          <w:bCs/>
        </w:rPr>
        <w:t>Fishermen who venture into blue water (represented by the left side of this mask) rely either on harpooning the prey or using a net (represented by the right hand side of this mask). Fearlessness yet good preparation of fishermen’s nets and boats are essential to a safe and profitable voyage.</w:t>
      </w:r>
      <w:r>
        <w:rPr>
          <w:bCs/>
        </w:rPr>
        <w:t xml:space="preserve"> This individual wears a mustache and goatee which suggests that the mask represent a particular individual.</w:t>
      </w:r>
    </w:p>
    <w:p w:rsidR="00A413E4" w:rsidRPr="00FD2924" w:rsidRDefault="00A413E4" w:rsidP="00A413E4">
      <w:pPr>
        <w:rPr>
          <w:rFonts w:ascii="Verdana" w:eastAsia="Times New Roman" w:hAnsi="Verdana" w:cs="Times New Roman"/>
          <w:color w:val="212063"/>
          <w:sz w:val="18"/>
          <w:szCs w:val="18"/>
        </w:rPr>
      </w:pPr>
      <w:r w:rsidRPr="0058684F">
        <w:rPr>
          <w:b/>
        </w:rPr>
        <w:t>LC Classification</w:t>
      </w:r>
      <w:r>
        <w:t>: E99.K9</w:t>
      </w:r>
    </w:p>
    <w:p w:rsidR="00A413E4" w:rsidRPr="00B54742" w:rsidRDefault="00A413E4" w:rsidP="00A413E4">
      <w:r w:rsidRPr="0058684F">
        <w:rPr>
          <w:b/>
        </w:rPr>
        <w:t>Date or Time Horizon:</w:t>
      </w:r>
      <w:r w:rsidRPr="00B54742">
        <w:t xml:space="preserve"> Late 20th century</w:t>
      </w:r>
    </w:p>
    <w:p w:rsidR="00A413E4" w:rsidRPr="0058684F" w:rsidRDefault="00A413E4" w:rsidP="00A413E4">
      <w:pPr>
        <w:spacing w:after="0"/>
      </w:pPr>
      <w:r w:rsidRPr="00FD2924">
        <w:rPr>
          <w:rStyle w:val="Strong"/>
        </w:rPr>
        <w:t>Geographical Area:</w:t>
      </w:r>
      <w:r w:rsidRPr="0058684F">
        <w:t xml:space="preserve"> Fort Rupert, northeastern Vancouver Island.</w:t>
      </w:r>
    </w:p>
    <w:p w:rsidR="00A413E4" w:rsidRDefault="00A413E4" w:rsidP="00A413E4">
      <w:pPr>
        <w:spacing w:after="0"/>
      </w:pPr>
      <w:r w:rsidRPr="0058684F">
        <w:rPr>
          <w:b/>
        </w:rPr>
        <w:t xml:space="preserve">Map, GPS coordinates: </w:t>
      </w:r>
      <w:r w:rsidRPr="0058684F">
        <w:t>50º41'51.16" N 127º25'32.09" W</w:t>
      </w:r>
    </w:p>
    <w:p w:rsidR="00A413E4" w:rsidRDefault="00A413E4" w:rsidP="00A413E4">
      <w:pPr>
        <w:spacing w:after="0"/>
        <w:rPr>
          <w:color w:val="000000" w:themeColor="text1"/>
        </w:rPr>
      </w:pPr>
      <w:r>
        <w:rPr>
          <w:noProof/>
        </w:rPr>
        <w:lastRenderedPageBreak/>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A413E4" w:rsidRPr="00D22447" w:rsidRDefault="00A413E4" w:rsidP="00A413E4">
      <w:pPr>
        <w:spacing w:after="0"/>
      </w:pPr>
      <w:r>
        <w:rPr>
          <w:color w:val="000000" w:themeColor="text1"/>
        </w:rPr>
        <w:t xml:space="preserve">Fig. 3. Map of Fort Rupert and the </w:t>
      </w:r>
      <w:proofErr w:type="spellStart"/>
      <w:r w:rsidRPr="00F15030">
        <w:t>Kwakwaka'wakw</w:t>
      </w:r>
      <w:proofErr w:type="spellEnd"/>
      <w:r>
        <w:t xml:space="preserve"> Reserve. After </w:t>
      </w:r>
      <w:r w:rsidRPr="00D22447">
        <w:t>www.bing.com</w:t>
      </w:r>
    </w:p>
    <w:p w:rsidR="00A413E4" w:rsidRPr="0058684F" w:rsidRDefault="00A413E4" w:rsidP="00A413E4">
      <w:pPr>
        <w:spacing w:after="0"/>
      </w:pPr>
    </w:p>
    <w:p w:rsidR="00A413E4" w:rsidRPr="0058684F" w:rsidRDefault="00A413E4" w:rsidP="00A413E4">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A413E4" w:rsidRDefault="00A413E4" w:rsidP="00A413E4">
      <w:pPr>
        <w:spacing w:after="0"/>
      </w:pPr>
      <w:r>
        <w:rPr>
          <w:rStyle w:val="Strong"/>
        </w:rPr>
        <w:t>Media:</w:t>
      </w:r>
      <w:r>
        <w:t xml:space="preserve"> Wood, red and black paint.</w:t>
      </w:r>
    </w:p>
    <w:p w:rsidR="00EB6984" w:rsidRDefault="00A413E4" w:rsidP="00A413E4">
      <w:pPr>
        <w:spacing w:after="0"/>
      </w:pPr>
      <w:r>
        <w:rPr>
          <w:rStyle w:val="Strong"/>
        </w:rPr>
        <w:t>Dimensions:</w:t>
      </w:r>
      <w:r>
        <w:t xml:space="preserve"> </w:t>
      </w:r>
      <w:r w:rsidR="00EB6984">
        <w:t>H 110.76, 4.36 in; W92.45 mm, 3.64 in</w:t>
      </w:r>
    </w:p>
    <w:p w:rsidR="00A413E4" w:rsidRDefault="00A413E4" w:rsidP="00A413E4">
      <w:pPr>
        <w:spacing w:after="0"/>
        <w:rPr>
          <w:rStyle w:val="Strong"/>
        </w:rPr>
      </w:pPr>
      <w:r>
        <w:rPr>
          <w:rStyle w:val="Strong"/>
        </w:rPr>
        <w:t xml:space="preserve">Weight:  </w:t>
      </w:r>
      <w:r w:rsidR="00EB6984">
        <w:rPr>
          <w:rStyle w:val="Strong"/>
        </w:rPr>
        <w:t xml:space="preserve">26 gm, 7/8 </w:t>
      </w:r>
      <w:proofErr w:type="spellStart"/>
      <w:r w:rsidR="00EB6984">
        <w:rPr>
          <w:rStyle w:val="Strong"/>
        </w:rPr>
        <w:t>oz</w:t>
      </w:r>
      <w:proofErr w:type="spellEnd"/>
    </w:p>
    <w:p w:rsidR="00A413E4" w:rsidRPr="0058684F" w:rsidRDefault="00A413E4" w:rsidP="00A413E4">
      <w:pPr>
        <w:spacing w:after="0"/>
        <w:rPr>
          <w:rStyle w:val="Strong"/>
          <w:b w:val="0"/>
        </w:rPr>
      </w:pPr>
      <w:r>
        <w:rPr>
          <w:rStyle w:val="Strong"/>
        </w:rPr>
        <w:t xml:space="preserve">Condition: </w:t>
      </w:r>
      <w:r w:rsidRPr="0058684F">
        <w:rPr>
          <w:rStyle w:val="Strong"/>
        </w:rPr>
        <w:t>original</w:t>
      </w:r>
    </w:p>
    <w:p w:rsidR="00A413E4" w:rsidRDefault="00A413E4" w:rsidP="00A413E4">
      <w:pPr>
        <w:spacing w:after="0"/>
      </w:pPr>
      <w:r>
        <w:rPr>
          <w:rStyle w:val="Strong"/>
        </w:rPr>
        <w:t>Provenance:</w:t>
      </w:r>
      <w:r>
        <w:t xml:space="preserve"> artist</w:t>
      </w:r>
    </w:p>
    <w:p w:rsidR="00A413E4" w:rsidRPr="009C241F" w:rsidRDefault="00A413E4" w:rsidP="00A413E4">
      <w:pPr>
        <w:spacing w:after="0"/>
        <w:rPr>
          <w:b/>
          <w:bCs/>
        </w:rPr>
      </w:pPr>
      <w:r w:rsidRPr="009C241F">
        <w:rPr>
          <w:b/>
        </w:rPr>
        <w:t>Description:</w:t>
      </w:r>
    </w:p>
    <w:p w:rsidR="00A413E4" w:rsidRDefault="00A413E4" w:rsidP="00A413E4">
      <w:pPr>
        <w:pStyle w:val="NormalWeb"/>
      </w:pPr>
      <w:r>
        <w:t xml:space="preserve">Technically, the style and form of masks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A413E4" w:rsidRDefault="00A413E4" w:rsidP="00A413E4">
      <w:pPr>
        <w:pStyle w:val="NormalWeb"/>
      </w:pPr>
      <w:r>
        <w:tab/>
        <w:t xml:space="preserve">However, the rôle of the past is still evident in the conservatism among some sculptors who refer to the masks of the past in their work. In this respect, masks are highly valued by the </w:t>
      </w:r>
      <w:proofErr w:type="spellStart"/>
      <w:r w:rsidRPr="00F15030">
        <w:t>Kwakwaka'wakw</w:t>
      </w:r>
      <w:proofErr w:type="spellEnd"/>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w:t>
      </w:r>
      <w:r>
        <w:lastRenderedPageBreak/>
        <w:t>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A413E4" w:rsidRDefault="00A413E4" w:rsidP="00A413E4">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xml:space="preserve">. George Hunt, of Tlingit and Scottish ancestry (his father was a factor at the fort) but raised in </w:t>
      </w:r>
      <w:proofErr w:type="spellStart"/>
      <w:r w:rsidRPr="009C241F">
        <w:t>Kwakwaka’wakw</w:t>
      </w:r>
      <w:proofErr w:type="spellEnd"/>
      <w:r w:rsidRPr="009C241F">
        <w:t xml:space="preserve"> traditions, collected valuable information and hundreds of utilitarian and ceremonial objects for museums beginning in the 1890s. </w:t>
      </w:r>
    </w:p>
    <w:p w:rsidR="00A413E4" w:rsidRPr="009A64FE" w:rsidRDefault="00A413E4" w:rsidP="00A413E4">
      <w:r>
        <w:rPr>
          <w:b/>
          <w:bCs/>
        </w:rPr>
        <w:t>References:</w:t>
      </w:r>
    </w:p>
    <w:p w:rsidR="00A413E4" w:rsidRPr="002B055A" w:rsidRDefault="00A413E4" w:rsidP="00A413E4">
      <w:pPr>
        <w:pStyle w:val="NormalWeb"/>
      </w:pPr>
      <w:r>
        <w:t xml:space="preserve">Greenville, Bruce. 1998. “Introduction.” </w:t>
      </w:r>
      <w:r w:rsidRPr="002B055A">
        <w:t xml:space="preserve">In </w:t>
      </w:r>
      <w:proofErr w:type="spellStart"/>
      <w:r w:rsidRPr="002B055A">
        <w:t>Macnair</w:t>
      </w:r>
      <w:proofErr w:type="spellEnd"/>
      <w:r w:rsidRPr="002B055A">
        <w:t xml:space="preserve">, et al. 1999, pp. 14-16. </w:t>
      </w:r>
    </w:p>
    <w:p w:rsidR="00A413E4" w:rsidRDefault="00A413E4" w:rsidP="00A413E4">
      <w:pPr>
        <w:pStyle w:val="NormalWeb"/>
      </w:pPr>
      <w:r>
        <w:t xml:space="preserve">Hawthorn, Audrey. 1979. </w:t>
      </w:r>
      <w:r w:rsidRPr="00D73A3E">
        <w:rPr>
          <w:i/>
        </w:rPr>
        <w:t>Kwakiutl Art</w:t>
      </w:r>
      <w:r>
        <w:t>. Seattle: University of Washington Press.</w:t>
      </w:r>
    </w:p>
    <w:p w:rsidR="00A413E4" w:rsidRDefault="00A413E4" w:rsidP="00A413E4">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A413E4" w:rsidRDefault="00A413E4" w:rsidP="00A413E4">
      <w:pPr>
        <w:pStyle w:val="NormalWeb"/>
      </w:pPr>
      <w:r>
        <w:t xml:space="preserve">1972. </w:t>
      </w:r>
      <w:r w:rsidRPr="00D73A3E">
        <w:rPr>
          <w:i/>
        </w:rPr>
        <w:t>Crooked Beak of Heaven</w:t>
      </w:r>
      <w:r>
        <w:t>. Seattle: University of Washington Press.</w:t>
      </w:r>
    </w:p>
    <w:p w:rsidR="00A413E4" w:rsidRDefault="00A413E4" w:rsidP="00A413E4">
      <w:pPr>
        <w:pStyle w:val="NormalWeb"/>
      </w:pPr>
      <w:r w:rsidRPr="00F37640">
        <w:t>1965</w:t>
      </w:r>
      <w:r>
        <w:t>.</w:t>
      </w:r>
      <w:r w:rsidRPr="00F37640">
        <w:t xml:space="preserve"> </w:t>
      </w:r>
      <w:r w:rsidRPr="00D73A3E">
        <w:rPr>
          <w:i/>
        </w:rPr>
        <w:t>Northwest Coast Indian Art</w:t>
      </w:r>
      <w:r w:rsidRPr="00F37640">
        <w:t>. Seattle: University of Washington Press.</w:t>
      </w:r>
    </w:p>
    <w:p w:rsidR="00A413E4" w:rsidRPr="00750420" w:rsidRDefault="00A413E4" w:rsidP="00A413E4">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A413E4" w:rsidRDefault="00A413E4" w:rsidP="00A413E4">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A413E4" w:rsidRDefault="00A413E4" w:rsidP="00A413E4">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A413E4" w:rsidRDefault="00A413E4" w:rsidP="00A413E4">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A413E4" w:rsidRDefault="00A413E4" w:rsidP="00A413E4">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A413E4" w:rsidRPr="00F37640" w:rsidRDefault="00A413E4" w:rsidP="00A413E4">
      <w:pPr>
        <w:pStyle w:val="NormalWeb"/>
      </w:pPr>
      <w:r>
        <w:t xml:space="preserve">1978 </w:t>
      </w:r>
      <w:r w:rsidRPr="00D73A3E">
        <w:rPr>
          <w:i/>
        </w:rPr>
        <w:t>A World of Faces: Masks of the Northwest Coast Indians</w:t>
      </w:r>
      <w:r>
        <w:t xml:space="preserve">. Portland, OR: Timber </w:t>
      </w:r>
      <w:r w:rsidRPr="00F37640">
        <w:t>Press.</w:t>
      </w:r>
    </w:p>
    <w:p w:rsidR="00A413E4" w:rsidRDefault="00A413E4" w:rsidP="00A413E4">
      <w:pPr>
        <w:pStyle w:val="NormalWeb"/>
      </w:pPr>
      <w:r w:rsidRPr="00F37640">
        <w:lastRenderedPageBreak/>
        <w:t>Masco, Joseph</w:t>
      </w:r>
      <w:r>
        <w:t>.</w:t>
      </w:r>
      <w:r>
        <w:rPr>
          <w:b/>
        </w:rPr>
        <w:t xml:space="preserve"> </w:t>
      </w:r>
      <w:r>
        <w:t xml:space="preserve">1995. “‘It is a Strict Law That Bids Us Dance’: Cosmologies, Colonialism, Death, and Ritual Authority in the </w:t>
      </w:r>
      <w:proofErr w:type="spellStart"/>
      <w:r>
        <w:t>Kwakwaka'wakw</w:t>
      </w:r>
      <w:proofErr w:type="spellEnd"/>
      <w:r>
        <w:t xml:space="preserve"> Potlatch, 1849 to 1922,” </w:t>
      </w:r>
      <w:r w:rsidRPr="00D73A3E">
        <w:rPr>
          <w:i/>
        </w:rPr>
        <w:t>Comparative Studies in Society and History</w:t>
      </w:r>
      <w:r>
        <w:t xml:space="preserve"> 37 (1): 41-75.</w:t>
      </w:r>
    </w:p>
    <w:p w:rsidR="00A413E4" w:rsidRDefault="00A413E4" w:rsidP="00A413E4">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A413E4" w:rsidRPr="00D73A3E" w:rsidRDefault="00A413E4" w:rsidP="00A413E4">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A413E4" w:rsidRDefault="00A413E4" w:rsidP="00A413E4"/>
    <w:p w:rsidR="00A413E4" w:rsidRDefault="00A413E4"/>
    <w:sectPr w:rsidR="00A41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3D2"/>
    <w:rsid w:val="00151F1C"/>
    <w:rsid w:val="002B055A"/>
    <w:rsid w:val="005473D2"/>
    <w:rsid w:val="00691AAE"/>
    <w:rsid w:val="00A413E4"/>
    <w:rsid w:val="00D36834"/>
    <w:rsid w:val="00D719CC"/>
    <w:rsid w:val="00EB698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C08E0"/>
  <w15:chartTrackingRefBased/>
  <w15:docId w15:val="{F584A147-52B9-4BDD-B66D-6CD718CA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13E4"/>
    <w:pPr>
      <w:spacing w:before="100" w:beforeAutospacing="1" w:after="100" w:afterAutospacing="1" w:line="240" w:lineRule="auto"/>
    </w:pPr>
    <w:rPr>
      <w:rFonts w:eastAsia="Times New Roman" w:cs="Times New Roman"/>
      <w:szCs w:val="24"/>
    </w:rPr>
  </w:style>
  <w:style w:type="character" w:styleId="Strong">
    <w:name w:val="Strong"/>
    <w:qFormat/>
    <w:rsid w:val="00A413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682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2019-01-26T20:06:00Z</dcterms:created>
  <dcterms:modified xsi:type="dcterms:W3CDTF">2019-01-26T20:06:00Z</dcterms:modified>
</cp:coreProperties>
</file>