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E3" w:rsidRPr="00F95720" w:rsidRDefault="00E2358E" w:rsidP="00E9087F">
      <w:r>
        <w:t>Case 1</w:t>
      </w:r>
      <w:r w:rsidR="00314FE3" w:rsidRPr="00F95720">
        <w:t>-Afr-Aterian Tanged Points-North Africa-</w:t>
      </w:r>
      <w:proofErr w:type="spellStart"/>
      <w:r w:rsidR="00314FE3" w:rsidRPr="00F95720">
        <w:t>Magreb</w:t>
      </w:r>
      <w:proofErr w:type="spellEnd"/>
      <w:r w:rsidR="00314FE3" w:rsidRPr="00F95720">
        <w:t xml:space="preserve"> Region-Middle Stone Age -100-</w:t>
      </w:r>
      <w:r w:rsidR="00A0081E">
        <w:t>30</w:t>
      </w:r>
      <w:r w:rsidR="00314FE3" w:rsidRPr="00F95720">
        <w:t xml:space="preserve"> ky</w:t>
      </w:r>
      <w:r w:rsidR="00A0081E">
        <w:t>a</w:t>
      </w:r>
      <w:r w:rsidR="00314FE3" w:rsidRPr="00F95720">
        <w:t>.</w:t>
      </w:r>
    </w:p>
    <w:p w:rsidR="00C01A68" w:rsidRDefault="00C01A68" w:rsidP="00C01A68">
      <w:pPr>
        <w:autoSpaceDE w:val="0"/>
        <w:autoSpaceDN w:val="0"/>
        <w:adjustRightInd w:val="0"/>
      </w:pPr>
      <w:r w:rsidRPr="00F95720">
        <w:rPr>
          <w:noProof/>
        </w:rPr>
        <w:drawing>
          <wp:inline distT="0" distB="0" distL="0" distR="0" wp14:anchorId="21877C84" wp14:editId="12BBC344">
            <wp:extent cx="49815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1F" w:rsidRPr="00F95720" w:rsidRDefault="0033091F" w:rsidP="00C01A68">
      <w:pPr>
        <w:autoSpaceDE w:val="0"/>
        <w:autoSpaceDN w:val="0"/>
        <w:adjustRightInd w:val="0"/>
      </w:pPr>
      <w:r>
        <w:t xml:space="preserve">Fig. 1. </w:t>
      </w:r>
      <w:r w:rsidRPr="00F95720">
        <w:t>Aterian Tanged Points-North Africa-</w:t>
      </w:r>
      <w:proofErr w:type="spellStart"/>
      <w:r w:rsidRPr="00F95720">
        <w:t>Magreb</w:t>
      </w:r>
      <w:proofErr w:type="spellEnd"/>
      <w:r w:rsidRPr="00F95720">
        <w:t xml:space="preserve"> Region-Middle Stone Age -100-</w:t>
      </w:r>
      <w:r>
        <w:t>30</w:t>
      </w:r>
      <w:r w:rsidRPr="00F95720">
        <w:t xml:space="preserve"> ky</w:t>
      </w:r>
      <w:r>
        <w:t>a</w:t>
      </w:r>
      <w:r w:rsidRPr="00F95720">
        <w:t>.</w:t>
      </w:r>
    </w:p>
    <w:p w:rsidR="0033091F" w:rsidRPr="0033091F" w:rsidRDefault="00A041C7" w:rsidP="0033091F">
      <w:pPr>
        <w:rPr>
          <w:rStyle w:val="Strong"/>
        </w:rPr>
      </w:pPr>
      <w:r>
        <w:rPr>
          <w:rStyle w:val="Strong"/>
        </w:rPr>
        <w:t>Case No.: Projectile Points</w:t>
      </w:r>
    </w:p>
    <w:p w:rsidR="00DB43E9" w:rsidRDefault="00DB43E9" w:rsidP="00C01A68">
      <w:pPr>
        <w:spacing w:after="0"/>
        <w:rPr>
          <w:rStyle w:val="Strong"/>
        </w:rPr>
      </w:pPr>
      <w:r>
        <w:rPr>
          <w:rStyle w:val="Strong"/>
        </w:rPr>
        <w:t>Accession No.:</w:t>
      </w:r>
    </w:p>
    <w:p w:rsidR="00A041C7" w:rsidRDefault="00A041C7" w:rsidP="00A041C7">
      <w:pPr>
        <w:spacing w:after="0"/>
      </w:pPr>
      <w:r w:rsidRPr="00F95720">
        <w:rPr>
          <w:rStyle w:val="Strong"/>
        </w:rPr>
        <w:t xml:space="preserve">Formal Label: </w:t>
      </w:r>
      <w:r w:rsidRPr="00F95720">
        <w:t>Aterian Tanged Points-North Africa-</w:t>
      </w:r>
      <w:proofErr w:type="spellStart"/>
      <w:r w:rsidRPr="00F95720">
        <w:t>Magreb</w:t>
      </w:r>
      <w:proofErr w:type="spellEnd"/>
      <w:r w:rsidRPr="00F95720">
        <w:t xml:space="preserve"> Region-Middle Stone Age -100-</w:t>
      </w:r>
      <w:r>
        <w:t>30</w:t>
      </w:r>
      <w:r w:rsidRPr="00F95720">
        <w:t xml:space="preserve"> ky</w:t>
      </w:r>
      <w:r>
        <w:t>a</w:t>
      </w:r>
      <w:r w:rsidRPr="00F95720">
        <w:t>.</w:t>
      </w:r>
    </w:p>
    <w:p w:rsidR="00A041C7" w:rsidRDefault="00A041C7" w:rsidP="00A041C7">
      <w:pPr>
        <w:rPr>
          <w:b w:val="0"/>
          <w:bCs/>
        </w:rPr>
      </w:pPr>
      <w:r w:rsidRPr="0033091F">
        <w:rPr>
          <w:bCs/>
        </w:rPr>
        <w:t xml:space="preserve">Display Description: </w:t>
      </w:r>
    </w:p>
    <w:p w:rsidR="00437BBC" w:rsidRDefault="00437BBC" w:rsidP="00A041C7">
      <w:pPr>
        <w:rPr>
          <w:color w:val="000000" w:themeColor="text1"/>
        </w:rPr>
      </w:pPr>
      <w:r w:rsidRPr="00437BBC">
        <w:rPr>
          <w:color w:val="000000"/>
        </w:rPr>
        <w:t xml:space="preserve">The Aterian lithic industry is a </w:t>
      </w:r>
      <w:r w:rsidRPr="00437BBC">
        <w:t>Late Pleistocene</w:t>
      </w:r>
      <w:r w:rsidR="00587AA5">
        <w:t>,</w:t>
      </w:r>
      <w:r w:rsidRPr="00437BBC">
        <w:t xml:space="preserve"> flake-oriented</w:t>
      </w:r>
      <w:r w:rsidR="00587AA5">
        <w:t>,</w:t>
      </w:r>
      <w:r w:rsidRPr="00437BBC">
        <w:t xml:space="preserve"> </w:t>
      </w:r>
      <w:r w:rsidRPr="00437BBC">
        <w:rPr>
          <w:color w:val="000000"/>
        </w:rPr>
        <w:t>techno-complex</w:t>
      </w:r>
      <w:r w:rsidRPr="00437BBC">
        <w:rPr>
          <w:spacing w:val="-4"/>
        </w:rPr>
        <w:t xml:space="preserve"> </w:t>
      </w:r>
      <w:r w:rsidRPr="00437BBC">
        <w:rPr>
          <w:color w:val="000000"/>
        </w:rPr>
        <w:t xml:space="preserve">defined by small (2-5 in) </w:t>
      </w:r>
      <w:r w:rsidRPr="00437BBC">
        <w:rPr>
          <w:spacing w:val="-3"/>
        </w:rPr>
        <w:t xml:space="preserve">Mousterian Levallois </w:t>
      </w:r>
      <w:r w:rsidRPr="00437BBC">
        <w:rPr>
          <w:color w:val="000000"/>
        </w:rPr>
        <w:t xml:space="preserve">tanged lithic </w:t>
      </w:r>
      <w:r w:rsidR="00587AA5">
        <w:rPr>
          <w:color w:val="000000" w:themeColor="text1"/>
        </w:rPr>
        <w:t>spades</w:t>
      </w:r>
      <w:r w:rsidRPr="00F95720">
        <w:rPr>
          <w:color w:val="000000" w:themeColor="text1"/>
        </w:rPr>
        <w:t xml:space="preserve"> and </w:t>
      </w:r>
      <w:r w:rsidR="00587AA5">
        <w:rPr>
          <w:color w:val="000000" w:themeColor="text1"/>
        </w:rPr>
        <w:t>chisels</w:t>
      </w:r>
      <w:r w:rsidRPr="00437BBC">
        <w:rPr>
          <w:color w:val="000000"/>
        </w:rPr>
        <w:t xml:space="preserve"> </w:t>
      </w:r>
      <w:r w:rsidR="00587AA5" w:rsidRPr="00F95720">
        <w:rPr>
          <w:color w:val="000000" w:themeColor="text1"/>
        </w:rPr>
        <w:t>designed for hafting with a wooden shaft</w:t>
      </w:r>
      <w:r w:rsidR="00587AA5">
        <w:rPr>
          <w:color w:val="000000" w:themeColor="text1"/>
        </w:rPr>
        <w:t>. It spans</w:t>
      </w:r>
      <w:r w:rsidRPr="00437BBC">
        <w:rPr>
          <w:spacing w:val="-3"/>
        </w:rPr>
        <w:t xml:space="preserve"> the </w:t>
      </w:r>
      <w:r w:rsidRPr="00437BBC">
        <w:t xml:space="preserve">Middle Paleolithic-Middle Stone Age (MP-MSA) </w:t>
      </w:r>
      <w:r w:rsidRPr="00437BBC">
        <w:rPr>
          <w:color w:val="000000"/>
        </w:rPr>
        <w:t xml:space="preserve">(e.g., Hahn </w:t>
      </w:r>
      <w:r w:rsidRPr="00437BBC">
        <w:rPr>
          <w:color w:val="0000FF"/>
        </w:rPr>
        <w:t>1984</w:t>
      </w:r>
      <w:r w:rsidRPr="00437BBC">
        <w:rPr>
          <w:color w:val="000000"/>
        </w:rPr>
        <w:t xml:space="preserve">; </w:t>
      </w:r>
      <w:proofErr w:type="spellStart"/>
      <w:r w:rsidRPr="00437BBC">
        <w:rPr>
          <w:color w:val="000000"/>
        </w:rPr>
        <w:t>Wengler</w:t>
      </w:r>
      <w:proofErr w:type="spellEnd"/>
      <w:r w:rsidRPr="00437BBC">
        <w:rPr>
          <w:color w:val="000000"/>
        </w:rPr>
        <w:t xml:space="preserve"> </w:t>
      </w:r>
      <w:r w:rsidRPr="00437BBC">
        <w:rPr>
          <w:color w:val="0000FF"/>
        </w:rPr>
        <w:t>1997</w:t>
      </w:r>
      <w:r w:rsidRPr="00437BBC">
        <w:rPr>
          <w:color w:val="000000"/>
        </w:rPr>
        <w:t xml:space="preserve">). It </w:t>
      </w:r>
      <w:r w:rsidRPr="00437BBC">
        <w:rPr>
          <w:spacing w:val="-4"/>
        </w:rPr>
        <w:t xml:space="preserve">extends time </w:t>
      </w:r>
      <w:proofErr w:type="spellStart"/>
      <w:r w:rsidRPr="00437BBC">
        <w:rPr>
          <w:spacing w:val="-4"/>
        </w:rPr>
        <w:t>transgressively</w:t>
      </w:r>
      <w:proofErr w:type="spellEnd"/>
      <w:r w:rsidRPr="00437BBC">
        <w:rPr>
          <w:spacing w:val="-4"/>
        </w:rPr>
        <w:t xml:space="preserve"> with a </w:t>
      </w:r>
      <w:r w:rsidRPr="00437BBC">
        <w:rPr>
          <w:bCs/>
          <w:spacing w:val="-3"/>
        </w:rPr>
        <w:t>west to east flow of Aterian culture</w:t>
      </w:r>
      <w:r w:rsidRPr="00437BBC">
        <w:rPr>
          <w:spacing w:val="-4"/>
        </w:rPr>
        <w:t xml:space="preserve"> across North Africa from Morocco (</w:t>
      </w:r>
      <w:r w:rsidRPr="00437BBC">
        <w:t>103</w:t>
      </w:r>
      <w:r w:rsidRPr="00437BBC">
        <w:rPr>
          <w:spacing w:val="-2"/>
        </w:rPr>
        <w:t>±</w:t>
      </w:r>
      <w:r w:rsidRPr="00437BBC">
        <w:t xml:space="preserve">3 </w:t>
      </w:r>
      <w:proofErr w:type="spellStart"/>
      <w:proofErr w:type="gramStart"/>
      <w:r w:rsidRPr="00437BBC">
        <w:t>ka,mean</w:t>
      </w:r>
      <w:proofErr w:type="spellEnd"/>
      <w:proofErr w:type="gramEnd"/>
      <w:r w:rsidRPr="00437BBC">
        <w:t xml:space="preserve"> OSL at La </w:t>
      </w:r>
      <w:proofErr w:type="spellStart"/>
      <w:r w:rsidRPr="00437BBC">
        <w:t>Grotte</w:t>
      </w:r>
      <w:proofErr w:type="spellEnd"/>
      <w:r w:rsidRPr="00437BBC">
        <w:t xml:space="preserve"> des </w:t>
      </w:r>
      <w:proofErr w:type="spellStart"/>
      <w:r w:rsidRPr="00437BBC">
        <w:t>Contrebandiers</w:t>
      </w:r>
      <w:proofErr w:type="spellEnd"/>
      <w:r w:rsidRPr="00437BBC">
        <w:rPr>
          <w:spacing w:val="-4"/>
        </w:rPr>
        <w:t xml:space="preserve">) </w:t>
      </w:r>
      <w:r w:rsidRPr="00437BBC">
        <w:t xml:space="preserve">to </w:t>
      </w:r>
      <w:proofErr w:type="spellStart"/>
      <w:r w:rsidRPr="00437BBC">
        <w:t>Haua</w:t>
      </w:r>
      <w:proofErr w:type="spellEnd"/>
      <w:r w:rsidRPr="00437BBC">
        <w:t xml:space="preserve"> </w:t>
      </w:r>
      <w:proofErr w:type="spellStart"/>
      <w:r w:rsidRPr="00437BBC">
        <w:t>Fteah</w:t>
      </w:r>
      <w:proofErr w:type="spellEnd"/>
      <w:r w:rsidRPr="00437BBC">
        <w:t xml:space="preserve"> (47 kya ± 3.2 kya) a karstic cave in Cyrenaica, Libya, to Egypt (&gt;30 kya)</w:t>
      </w:r>
      <w:r>
        <w:t xml:space="preserve"> </w:t>
      </w:r>
      <w:r w:rsidRPr="00F95720">
        <w:rPr>
          <w:color w:val="000000" w:themeColor="text1"/>
        </w:rPr>
        <w:t>(</w:t>
      </w:r>
      <w:proofErr w:type="spellStart"/>
      <w:r w:rsidRPr="00F95720">
        <w:rPr>
          <w:color w:val="000000" w:themeColor="text1"/>
        </w:rPr>
        <w:t>Tixier</w:t>
      </w:r>
      <w:proofErr w:type="spellEnd"/>
      <w:r w:rsidRPr="00F95720">
        <w:rPr>
          <w:color w:val="000000" w:themeColor="text1"/>
        </w:rPr>
        <w:t>, 1967; Petit-</w:t>
      </w:r>
      <w:proofErr w:type="spellStart"/>
      <w:r w:rsidRPr="00F95720">
        <w:rPr>
          <w:color w:val="000000" w:themeColor="text1"/>
        </w:rPr>
        <w:t>Maire</w:t>
      </w:r>
      <w:proofErr w:type="spellEnd"/>
      <w:r w:rsidRPr="00F95720">
        <w:rPr>
          <w:color w:val="000000" w:themeColor="text1"/>
        </w:rPr>
        <w:t>, 1982</w:t>
      </w:r>
      <w:r>
        <w:rPr>
          <w:color w:val="000000" w:themeColor="text1"/>
        </w:rPr>
        <w:t xml:space="preserve">; </w:t>
      </w:r>
      <w:proofErr w:type="spellStart"/>
      <w:r w:rsidRPr="00F95720">
        <w:rPr>
          <w:color w:val="000000" w:themeColor="text1"/>
        </w:rPr>
        <w:t>Wendorf</w:t>
      </w:r>
      <w:proofErr w:type="spellEnd"/>
      <w:r w:rsidRPr="00F95720">
        <w:rPr>
          <w:color w:val="000000" w:themeColor="text1"/>
        </w:rPr>
        <w:t xml:space="preserve"> and </w:t>
      </w:r>
      <w:proofErr w:type="spellStart"/>
      <w:r w:rsidRPr="00F95720">
        <w:rPr>
          <w:color w:val="000000" w:themeColor="text1"/>
        </w:rPr>
        <w:t>Schild</w:t>
      </w:r>
      <w:proofErr w:type="spellEnd"/>
      <w:r w:rsidRPr="00F95720">
        <w:rPr>
          <w:color w:val="000000" w:themeColor="text1"/>
        </w:rPr>
        <w:t>, 1992).</w:t>
      </w:r>
      <w:r w:rsidR="00A041C7" w:rsidRPr="00F95720">
        <w:rPr>
          <w:color w:val="000000" w:themeColor="text1"/>
        </w:rPr>
        <w:t xml:space="preserve"> </w:t>
      </w:r>
    </w:p>
    <w:p w:rsidR="00E9087F" w:rsidRPr="00F95720" w:rsidRDefault="00DB43E9" w:rsidP="00C01A68">
      <w:pPr>
        <w:spacing w:after="0"/>
        <w:rPr>
          <w:b w:val="0"/>
          <w:bCs/>
        </w:rPr>
      </w:pPr>
      <w:r>
        <w:rPr>
          <w:rStyle w:val="Strong"/>
        </w:rPr>
        <w:t>LC Classification</w:t>
      </w:r>
      <w:r w:rsidR="00E9087F" w:rsidRPr="00F95720">
        <w:rPr>
          <w:rStyle w:val="Strong"/>
        </w:rPr>
        <w:t>:</w:t>
      </w:r>
      <w:r w:rsidR="00E9087F" w:rsidRPr="00F95720">
        <w:t xml:space="preserve"> </w:t>
      </w:r>
      <w:r w:rsidR="00E9087F" w:rsidRPr="00F95720">
        <w:rPr>
          <w:rFonts w:eastAsia="Times New Roman"/>
          <w:color w:val="000000"/>
        </w:rPr>
        <w:t>GN77</w:t>
      </w:r>
      <w:r>
        <w:rPr>
          <w:rFonts w:eastAsia="Times New Roman"/>
          <w:color w:val="000000"/>
        </w:rPr>
        <w:t>5</w:t>
      </w:r>
    </w:p>
    <w:p w:rsidR="00A0081E" w:rsidRDefault="00E9087F" w:rsidP="00E9087F">
      <w:pPr>
        <w:spacing w:after="0"/>
        <w:rPr>
          <w:rStyle w:val="Strong"/>
        </w:rPr>
      </w:pPr>
      <w:r w:rsidRPr="00F95720">
        <w:rPr>
          <w:rStyle w:val="Strong"/>
        </w:rPr>
        <w:t>Date or Time Horizon:</w:t>
      </w:r>
      <w:r w:rsidRPr="00F95720">
        <w:t xml:space="preserve"> </w:t>
      </w:r>
      <w:r w:rsidR="00A0081E" w:rsidRPr="00F95720">
        <w:t>100-</w:t>
      </w:r>
      <w:r w:rsidR="00A0081E">
        <w:t>30</w:t>
      </w:r>
      <w:r w:rsidR="00A0081E" w:rsidRPr="00F95720">
        <w:t xml:space="preserve"> ky</w:t>
      </w:r>
      <w:r w:rsidR="00A0081E">
        <w:t>a</w:t>
      </w:r>
      <w:r w:rsidR="00A0081E" w:rsidRPr="00F95720">
        <w:rPr>
          <w:rStyle w:val="Strong"/>
        </w:rPr>
        <w:t xml:space="preserve"> </w:t>
      </w:r>
    </w:p>
    <w:p w:rsidR="00E9087F" w:rsidRPr="00F95720" w:rsidRDefault="00E9087F" w:rsidP="00E9087F">
      <w:pPr>
        <w:spacing w:after="0"/>
      </w:pPr>
      <w:r w:rsidRPr="00F95720">
        <w:rPr>
          <w:rStyle w:val="Strong"/>
        </w:rPr>
        <w:t>Geographical Area:</w:t>
      </w:r>
      <w:r w:rsidRPr="00F95720">
        <w:t xml:space="preserve"> Maghreb region of North Africa</w:t>
      </w:r>
    </w:p>
    <w:p w:rsidR="00E9087F" w:rsidRPr="00F95720" w:rsidRDefault="00E9087F" w:rsidP="00E9087F">
      <w:pPr>
        <w:spacing w:after="0"/>
      </w:pPr>
      <w:r w:rsidRPr="00F95720">
        <w:rPr>
          <w:rStyle w:val="Strong"/>
        </w:rPr>
        <w:t>Cultural Affiliation:</w:t>
      </w:r>
      <w:r w:rsidRPr="00F95720">
        <w:t xml:space="preserve"> Aterian</w:t>
      </w:r>
    </w:p>
    <w:p w:rsidR="00E9087F" w:rsidRPr="00F95720" w:rsidRDefault="00E9087F" w:rsidP="00E9087F">
      <w:pPr>
        <w:spacing w:after="0"/>
      </w:pPr>
      <w:r w:rsidRPr="00F95720">
        <w:rPr>
          <w:rStyle w:val="Strong"/>
        </w:rPr>
        <w:t>Medium:</w:t>
      </w:r>
      <w:r w:rsidRPr="00F95720">
        <w:t xml:space="preserve"> Flint, Silicified </w:t>
      </w:r>
      <w:r w:rsidR="004D6ED9" w:rsidRPr="00F95720">
        <w:t>sandstone</w:t>
      </w:r>
    </w:p>
    <w:p w:rsidR="00E9087F" w:rsidRPr="00F95720" w:rsidRDefault="00E9087F" w:rsidP="00E9087F">
      <w:pPr>
        <w:spacing w:after="0"/>
        <w:rPr>
          <w:b w:val="0"/>
          <w:bCs/>
        </w:rPr>
      </w:pPr>
      <w:r w:rsidRPr="00F95720">
        <w:rPr>
          <w:rStyle w:val="Strong"/>
        </w:rPr>
        <w:t>Dimensions:</w:t>
      </w:r>
      <w:r w:rsidRPr="00F95720">
        <w:t xml:space="preserve"> H 1-3 in </w:t>
      </w:r>
    </w:p>
    <w:p w:rsidR="00E9087F" w:rsidRPr="00A0081E" w:rsidRDefault="00E9087F" w:rsidP="00E9087F">
      <w:pPr>
        <w:spacing w:after="0"/>
        <w:rPr>
          <w:rStyle w:val="Strong"/>
          <w:b/>
        </w:rPr>
      </w:pPr>
      <w:r w:rsidRPr="00F95720">
        <w:rPr>
          <w:rStyle w:val="Strong"/>
        </w:rPr>
        <w:t xml:space="preserve">Weight:  </w:t>
      </w:r>
      <w:r w:rsidR="00C01A68" w:rsidRPr="00A0081E">
        <w:rPr>
          <w:rStyle w:val="Strong"/>
        </w:rPr>
        <w:t>varies</w:t>
      </w:r>
    </w:p>
    <w:p w:rsidR="00E9087F" w:rsidRPr="00F95720" w:rsidRDefault="00E9087F" w:rsidP="00E9087F">
      <w:pPr>
        <w:spacing w:after="0"/>
      </w:pPr>
      <w:r w:rsidRPr="00F95720">
        <w:rPr>
          <w:rStyle w:val="Strong"/>
        </w:rPr>
        <w:t>Provenance:</w:t>
      </w:r>
      <w:r w:rsidRPr="00F95720">
        <w:t xml:space="preserve"> Morocco</w:t>
      </w:r>
    </w:p>
    <w:p w:rsidR="00E9087F" w:rsidRPr="007802ED" w:rsidRDefault="00E9087F" w:rsidP="00E9087F">
      <w:pPr>
        <w:spacing w:after="0"/>
      </w:pPr>
      <w:r w:rsidRPr="00F95720">
        <w:t xml:space="preserve">Condition: </w:t>
      </w:r>
      <w:r w:rsidR="004D6ED9" w:rsidRPr="007802ED">
        <w:t>Fine</w:t>
      </w:r>
    </w:p>
    <w:p w:rsidR="00F95720" w:rsidRPr="007802ED" w:rsidRDefault="00E9087F" w:rsidP="007802ED">
      <w:pPr>
        <w:spacing w:after="0"/>
        <w:rPr>
          <w:b w:val="0"/>
        </w:rPr>
      </w:pPr>
      <w:r w:rsidRPr="00F95720">
        <w:t>Discussion:</w:t>
      </w:r>
    </w:p>
    <w:p w:rsidR="00E9087F" w:rsidRDefault="00587AA5" w:rsidP="007F757F">
      <w:pPr>
        <w:rPr>
          <w:color w:val="000000" w:themeColor="text1"/>
        </w:rPr>
      </w:pPr>
      <w:r>
        <w:rPr>
          <w:color w:val="000000" w:themeColor="text1"/>
        </w:rPr>
        <w:t xml:space="preserve">The question of why </w:t>
      </w:r>
      <w:r w:rsidRPr="00F95720">
        <w:rPr>
          <w:color w:val="000000" w:themeColor="text1"/>
        </w:rPr>
        <w:t>anatomically modern humans</w:t>
      </w:r>
      <w:r>
        <w:rPr>
          <w:color w:val="000000" w:themeColor="text1"/>
        </w:rPr>
        <w:t xml:space="preserve"> i</w:t>
      </w:r>
      <w:r w:rsidRPr="00F95720">
        <w:rPr>
          <w:color w:val="000000" w:themeColor="text1"/>
        </w:rPr>
        <w:t xml:space="preserve">n </w:t>
      </w:r>
      <w:r>
        <w:rPr>
          <w:color w:val="000000" w:themeColor="text1"/>
        </w:rPr>
        <w:t>the Maghreb</w:t>
      </w:r>
      <w:r w:rsidRPr="00F95720">
        <w:rPr>
          <w:color w:val="000000" w:themeColor="text1"/>
        </w:rPr>
        <w:t xml:space="preserve"> at ca 100,000 BP</w:t>
      </w:r>
      <w:r>
        <w:rPr>
          <w:color w:val="000000" w:themeColor="text1"/>
        </w:rPr>
        <w:t xml:space="preserve"> developed </w:t>
      </w:r>
      <w:r w:rsidR="00C01A68" w:rsidRPr="00F95720">
        <w:rPr>
          <w:color w:val="000000" w:themeColor="text1"/>
        </w:rPr>
        <w:t>Aterian tanged tools</w:t>
      </w:r>
      <w:r>
        <w:rPr>
          <w:color w:val="000000" w:themeColor="text1"/>
        </w:rPr>
        <w:t xml:space="preserve">. One answer may be that they </w:t>
      </w:r>
      <w:r w:rsidR="004D6ED9" w:rsidRPr="00F95720">
        <w:rPr>
          <w:color w:val="000000" w:themeColor="text1"/>
        </w:rPr>
        <w:t xml:space="preserve">were </w:t>
      </w:r>
      <w:r w:rsidR="00C01A68" w:rsidRPr="00F95720">
        <w:rPr>
          <w:color w:val="000000" w:themeColor="text1"/>
        </w:rPr>
        <w:t>invent</w:t>
      </w:r>
      <w:r>
        <w:rPr>
          <w:color w:val="000000" w:themeColor="text1"/>
        </w:rPr>
        <w:t>ed</w:t>
      </w:r>
      <w:r w:rsidR="00C01A68" w:rsidRPr="00F95720">
        <w:rPr>
          <w:color w:val="000000" w:themeColor="text1"/>
        </w:rPr>
        <w:t xml:space="preserve"> </w:t>
      </w:r>
      <w:r>
        <w:rPr>
          <w:color w:val="000000" w:themeColor="text1"/>
        </w:rPr>
        <w:t>because</w:t>
      </w:r>
      <w:r w:rsidR="007802ED">
        <w:rPr>
          <w:color w:val="000000" w:themeColor="text1"/>
        </w:rPr>
        <w:t xml:space="preserve"> resin</w:t>
      </w:r>
      <w:r w:rsidR="004D6ED9" w:rsidRPr="00F95720">
        <w:rPr>
          <w:color w:val="000000" w:themeColor="text1"/>
        </w:rPr>
        <w:t>–bearing trees became scarce</w:t>
      </w:r>
      <w:r>
        <w:rPr>
          <w:color w:val="000000" w:themeColor="text1"/>
        </w:rPr>
        <w:t xml:space="preserve"> during a climatic drying shift</w:t>
      </w:r>
      <w:r w:rsidR="004D6ED9" w:rsidRPr="00F95720">
        <w:rPr>
          <w:color w:val="000000" w:themeColor="text1"/>
        </w:rPr>
        <w:t>, so hafting with a leather thong around a tang became more feasible</w:t>
      </w:r>
      <w:r w:rsidR="007F757F" w:rsidRPr="00F95720">
        <w:rPr>
          <w:color w:val="000000" w:themeColor="text1"/>
        </w:rPr>
        <w:t xml:space="preserve"> than hafting with </w:t>
      </w:r>
      <w:r w:rsidR="00F95720" w:rsidRPr="00F95720">
        <w:rPr>
          <w:color w:val="000000" w:themeColor="text1"/>
        </w:rPr>
        <w:t xml:space="preserve">resin using a non-tanged lithic (see </w:t>
      </w:r>
      <w:proofErr w:type="spellStart"/>
      <w:r w:rsidR="00F95720" w:rsidRPr="00F95720">
        <w:rPr>
          <w:rFonts w:eastAsia="Times New Roman"/>
        </w:rPr>
        <w:t>Ferring</w:t>
      </w:r>
      <w:proofErr w:type="spellEnd"/>
      <w:r w:rsidR="00F95720" w:rsidRPr="00F95720">
        <w:rPr>
          <w:rFonts w:eastAsia="Times New Roman"/>
        </w:rPr>
        <w:t xml:space="preserve">, </w:t>
      </w:r>
      <w:r w:rsidR="00F95720" w:rsidRPr="007F757F">
        <w:rPr>
          <w:rFonts w:eastAsia="Times New Roman"/>
        </w:rPr>
        <w:t>1975</w:t>
      </w:r>
      <w:r w:rsidR="00F95720" w:rsidRPr="00F95720">
        <w:rPr>
          <w:rFonts w:eastAsia="Times New Roman"/>
        </w:rPr>
        <w:t>).</w:t>
      </w:r>
      <w:r w:rsidR="007F757F" w:rsidRPr="00F95720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="00F95720" w:rsidRPr="00F95720">
        <w:rPr>
          <w:color w:val="000000" w:themeColor="text1"/>
        </w:rPr>
        <w:t>hese</w:t>
      </w:r>
      <w:r w:rsidR="007F757F" w:rsidRPr="00F95720">
        <w:rPr>
          <w:color w:val="000000" w:themeColor="text1"/>
        </w:rPr>
        <w:t xml:space="preserve"> tanged tools were </w:t>
      </w:r>
      <w:r>
        <w:rPr>
          <w:color w:val="000000" w:themeColor="text1"/>
        </w:rPr>
        <w:t xml:space="preserve">used </w:t>
      </w:r>
      <w:r w:rsidR="007F757F" w:rsidRPr="00F95720">
        <w:rPr>
          <w:color w:val="000000" w:themeColor="text1"/>
        </w:rPr>
        <w:t xml:space="preserve">for agriculture </w:t>
      </w:r>
      <w:r w:rsidR="007802ED">
        <w:rPr>
          <w:color w:val="000000" w:themeColor="text1"/>
        </w:rPr>
        <w:t xml:space="preserve">as a spade </w:t>
      </w:r>
      <w:r w:rsidR="007F757F" w:rsidRPr="00F95720">
        <w:rPr>
          <w:color w:val="000000" w:themeColor="text1"/>
        </w:rPr>
        <w:t>and wood-working</w:t>
      </w:r>
      <w:r w:rsidR="007802ED">
        <w:rPr>
          <w:color w:val="000000" w:themeColor="text1"/>
        </w:rPr>
        <w:t xml:space="preserve"> as a chisel</w:t>
      </w:r>
      <w:r>
        <w:rPr>
          <w:color w:val="000000" w:themeColor="text1"/>
        </w:rPr>
        <w:t xml:space="preserve"> in a</w:t>
      </w:r>
      <w:r w:rsidR="007F757F" w:rsidRPr="00F95720">
        <w:rPr>
          <w:color w:val="000000" w:themeColor="text1"/>
        </w:rPr>
        <w:t xml:space="preserve"> peaceful and agrarian </w:t>
      </w:r>
      <w:r>
        <w:rPr>
          <w:color w:val="000000" w:themeColor="text1"/>
        </w:rPr>
        <w:t>set</w:t>
      </w:r>
      <w:r w:rsidR="00D243BD">
        <w:rPr>
          <w:color w:val="000000" w:themeColor="text1"/>
        </w:rPr>
        <w:t>ting for 70 ky</w:t>
      </w:r>
      <w:bookmarkStart w:id="0" w:name="_GoBack"/>
      <w:bookmarkEnd w:id="0"/>
      <w:r>
        <w:rPr>
          <w:color w:val="000000" w:themeColor="text1"/>
        </w:rPr>
        <w:t xml:space="preserve"> </w:t>
      </w:r>
      <w:r w:rsidR="00F95720" w:rsidRPr="00F95720">
        <w:rPr>
          <w:color w:val="000000" w:themeColor="text1"/>
        </w:rPr>
        <w:t xml:space="preserve">(Mercier </w:t>
      </w:r>
      <w:r w:rsidR="00F95720" w:rsidRPr="0033091F">
        <w:rPr>
          <w:i/>
          <w:color w:val="000000" w:themeColor="text1"/>
        </w:rPr>
        <w:t xml:space="preserve">et </w:t>
      </w:r>
      <w:proofErr w:type="spellStart"/>
      <w:r w:rsidR="00F95720" w:rsidRPr="0033091F">
        <w:rPr>
          <w:i/>
          <w:color w:val="000000" w:themeColor="text1"/>
        </w:rPr>
        <w:t>alii</w:t>
      </w:r>
      <w:proofErr w:type="spellEnd"/>
      <w:r w:rsidR="00F95720" w:rsidRPr="00F95720">
        <w:rPr>
          <w:color w:val="000000" w:themeColor="text1"/>
        </w:rPr>
        <w:t xml:space="preserve"> 2007)</w:t>
      </w:r>
      <w:r w:rsidR="007F757F" w:rsidRPr="00F95720">
        <w:rPr>
          <w:color w:val="000000" w:themeColor="text1"/>
        </w:rPr>
        <w:t>.</w:t>
      </w:r>
    </w:p>
    <w:p w:rsidR="0033091F" w:rsidRPr="0033091F" w:rsidRDefault="0033091F" w:rsidP="0033091F">
      <w:pPr>
        <w:spacing w:after="0"/>
        <w:ind w:firstLine="720"/>
        <w:rPr>
          <w:lang w:val="fr-FR"/>
        </w:rPr>
      </w:pPr>
      <w:r w:rsidRPr="0033091F">
        <w:rPr>
          <w:rFonts w:ascii="Garamond" w:hAnsi="Garamond"/>
          <w:spacing w:val="-10"/>
          <w:sz w:val="19"/>
          <w:szCs w:val="19"/>
        </w:rPr>
        <w:t>Sites                              Age    BP                           Lab. No.</w:t>
      </w:r>
      <w:r w:rsidRPr="0033091F">
        <w:rPr>
          <w:rFonts w:ascii="Garamond" w:hAnsi="Garamond"/>
          <w:spacing w:val="-10"/>
          <w:sz w:val="19"/>
          <w:szCs w:val="19"/>
        </w:rPr>
        <w:tab/>
        <w:t xml:space="preserve">      </w:t>
      </w:r>
      <w:r w:rsidRPr="0033091F">
        <w:rPr>
          <w:rFonts w:ascii="Garamond" w:hAnsi="Garamond"/>
          <w:sz w:val="19"/>
          <w:szCs w:val="19"/>
          <w:lang w:val="fr-FR"/>
        </w:rPr>
        <w:t>Reference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699"/>
        <w:gridCol w:w="1042"/>
        <w:gridCol w:w="1775"/>
      </w:tblGrid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noProof/>
                <w:sz w:val="18"/>
                <w:szCs w:val="18"/>
                <w:highlight w:val="yellow"/>
                <w:lang w:val="fr-FR"/>
              </w:rPr>
            </w:pPr>
            <w:r>
              <w:rPr>
                <w:spacing w:val="-4"/>
                <w:sz w:val="18"/>
                <w:szCs w:val="18"/>
                <w:highlight w:val="yellow"/>
                <w:lang w:val="fr-FR"/>
              </w:rPr>
              <w:t xml:space="preserve">Grotte des </w:t>
            </w:r>
            <w:r w:rsidRPr="00B67BB3">
              <w:rPr>
                <w:spacing w:val="-4"/>
                <w:sz w:val="18"/>
                <w:szCs w:val="18"/>
                <w:highlight w:val="yellow"/>
                <w:lang w:val="fr-FR"/>
              </w:rPr>
              <w:t>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33091F" w:rsidRDefault="0033091F" w:rsidP="00843316">
            <w:pPr>
              <w:ind w:left="115"/>
              <w:rPr>
                <w:spacing w:val="-2"/>
                <w:sz w:val="18"/>
                <w:szCs w:val="18"/>
                <w:lang w:val="fr-FR"/>
              </w:rPr>
            </w:pPr>
            <w:r w:rsidRPr="0033091F">
              <w:rPr>
                <w:sz w:val="18"/>
                <w:szCs w:val="18"/>
                <w:highlight w:val="yellow"/>
                <w:lang w:val="fr-FR"/>
              </w:rPr>
              <w:t>103</w:t>
            </w:r>
            <w:r w:rsidRPr="0033091F">
              <w:rPr>
                <w:spacing w:val="-2"/>
                <w:sz w:val="18"/>
                <w:szCs w:val="18"/>
                <w:highlight w:val="yellow"/>
                <w:lang w:val="fr-FR"/>
              </w:rPr>
              <w:t>±</w:t>
            </w:r>
            <w:r w:rsidRPr="0033091F">
              <w:rPr>
                <w:sz w:val="18"/>
                <w:szCs w:val="18"/>
                <w:highlight w:val="yellow"/>
                <w:lang w:val="fr-FR"/>
              </w:rPr>
              <w:t>3 ka OOOSL(OSL)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33091F" w:rsidRDefault="0033091F" w:rsidP="00843316">
            <w:pPr>
              <w:ind w:left="62"/>
              <w:rPr>
                <w:spacing w:val="-10"/>
                <w:sz w:val="18"/>
                <w:szCs w:val="18"/>
                <w:lang w:val="fr-FR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Jacobs et al. 2011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66432" behindDoc="0" locked="0" layoutInCell="0" allowOverlap="1" wp14:anchorId="4DD44CE6" wp14:editId="6496F9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4144645" cy="0"/>
                      <wp:effectExtent l="9525" t="13335" r="8255" b="15240"/>
                      <wp:wrapSquare wrapText="bothSides"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4645" cy="0"/>
                              </a:xfrm>
                              <a:prstGeom prst="line">
                                <a:avLst/>
                              </a:prstGeom>
                              <a:noFill/>
                              <a:ln w="1206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A69A8" id="Straight Connector 10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1.2pt" to="326.3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" o:allowincell="f" strokeweight=".95pt">
                      <w10:wrap type="square"/>
                    </v:line>
                  </w:pict>
                </mc:Fallback>
              </mc:AlternateContent>
            </w:r>
            <w:r w:rsidRPr="00B67BB3">
              <w:rPr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pacing w:val="-2"/>
                <w:sz w:val="18"/>
                <w:szCs w:val="18"/>
                <w:lang w:val="fr-FR"/>
              </w:rPr>
            </w:pPr>
            <w:r w:rsidRPr="00B67BB3">
              <w:rPr>
                <w:spacing w:val="-2"/>
                <w:sz w:val="18"/>
                <w:szCs w:val="18"/>
                <w:lang w:val="fr-FR"/>
              </w:rPr>
              <w:t>24,500 ± 600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10"/>
                <w:sz w:val="18"/>
                <w:szCs w:val="18"/>
                <w:lang w:val="fr-FR"/>
              </w:rPr>
            </w:pPr>
            <w:r w:rsidRPr="00B67BB3">
              <w:rPr>
                <w:spacing w:val="-10"/>
                <w:sz w:val="18"/>
                <w:szCs w:val="18"/>
                <w:lang w:val="fr-FR"/>
              </w:rPr>
              <w:t>Gif-2582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  <w:lang w:val="fr-FR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  <w:lang w:val="fr-FR"/>
              </w:rPr>
              <w:t>Delibrias</w:t>
            </w:r>
            <w:proofErr w:type="spellEnd"/>
            <w:r w:rsidRPr="00B67BB3">
              <w:rPr>
                <w:spacing w:val="-4"/>
                <w:sz w:val="18"/>
                <w:szCs w:val="18"/>
                <w:lang w:val="fr-FR"/>
              </w:rPr>
              <w:t xml:space="preserve"> </w:t>
            </w:r>
            <w:r w:rsidRPr="00B67BB3">
              <w:rPr>
                <w:i/>
                <w:iCs/>
                <w:spacing w:val="-4"/>
                <w:sz w:val="18"/>
                <w:szCs w:val="18"/>
                <w:lang w:val="fr-FR"/>
              </w:rPr>
              <w:t xml:space="preserve">et al. </w:t>
            </w:r>
            <w:r w:rsidRPr="00B67BB3">
              <w:rPr>
                <w:spacing w:val="-4"/>
                <w:sz w:val="18"/>
                <w:szCs w:val="18"/>
                <w:lang w:val="fr-FR"/>
              </w:rPr>
              <w:t>(1982)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23,700 ± 1000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10"/>
                <w:sz w:val="18"/>
                <w:szCs w:val="18"/>
              </w:rPr>
            </w:pPr>
            <w:r w:rsidRPr="00B67BB3">
              <w:rPr>
                <w:spacing w:val="-10"/>
                <w:sz w:val="18"/>
                <w:szCs w:val="18"/>
              </w:rPr>
              <w:t>Gif-2585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Delibrias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</w:t>
            </w:r>
            <w:r w:rsidRPr="00B67BB3">
              <w:rPr>
                <w:i/>
                <w:iCs/>
                <w:spacing w:val="-2"/>
                <w:sz w:val="18"/>
                <w:szCs w:val="18"/>
              </w:rPr>
              <w:t xml:space="preserve">et al. </w:t>
            </w:r>
            <w:r w:rsidRPr="00B67BB3">
              <w:rPr>
                <w:spacing w:val="-2"/>
                <w:sz w:val="18"/>
                <w:szCs w:val="18"/>
              </w:rPr>
              <w:t>(1982)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 xml:space="preserve">Dar </w:t>
            </w:r>
            <w:proofErr w:type="spellStart"/>
            <w:r w:rsidRPr="00B67BB3">
              <w:rPr>
                <w:sz w:val="18"/>
                <w:szCs w:val="18"/>
              </w:rPr>
              <w:t>es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&gt;27,000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UCLA-678B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Ruhlmann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(1951)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 xml:space="preserve">Dar </w:t>
            </w:r>
            <w:proofErr w:type="spellStart"/>
            <w:r w:rsidRPr="00B67BB3">
              <w:rPr>
                <w:spacing w:val="-2"/>
                <w:sz w:val="18"/>
                <w:szCs w:val="18"/>
                <w:highlight w:val="yellow"/>
              </w:rPr>
              <w:t>es</w:t>
            </w:r>
            <w:proofErr w:type="spellEnd"/>
            <w:r w:rsidRPr="00B67BB3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67BB3">
              <w:rPr>
                <w:spacing w:val="-2"/>
                <w:sz w:val="18"/>
                <w:szCs w:val="18"/>
                <w:highlight w:val="yellow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&gt;30,000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6"/>
                <w:sz w:val="18"/>
                <w:szCs w:val="18"/>
                <w:highlight w:val="yellow"/>
              </w:rPr>
            </w:pPr>
            <w:r w:rsidRPr="00B67BB3">
              <w:rPr>
                <w:spacing w:val="-6"/>
                <w:sz w:val="18"/>
                <w:szCs w:val="18"/>
                <w:highlight w:val="yellow"/>
              </w:rPr>
              <w:t>UCLA-878A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>Roche (1956)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18)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&gt;32,370 +2470/-1890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&gt;34,550 +3200/-2280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pacing w:val="-1"/>
                <w:sz w:val="18"/>
                <w:szCs w:val="18"/>
              </w:rPr>
            </w:pPr>
            <w:proofErr w:type="spellStart"/>
            <w:r w:rsidRPr="00B67BB3">
              <w:rPr>
                <w:spacing w:val="-1"/>
                <w:sz w:val="18"/>
                <w:szCs w:val="18"/>
              </w:rPr>
              <w:t>Taforalt</w:t>
            </w:r>
            <w:proofErr w:type="spellEnd"/>
            <w:r w:rsidRPr="00B67BB3">
              <w:rPr>
                <w:spacing w:val="-1"/>
                <w:sz w:val="18"/>
                <w:szCs w:val="18"/>
              </w:rPr>
              <w:t xml:space="preserve"> (base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6"/>
                <w:sz w:val="18"/>
                <w:szCs w:val="18"/>
              </w:rPr>
            </w:pPr>
            <w:r w:rsidRPr="00B67BB3">
              <w:rPr>
                <w:spacing w:val="-6"/>
                <w:sz w:val="18"/>
                <w:szCs w:val="18"/>
              </w:rPr>
              <w:t>G if-2588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(top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Gif-2589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23)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  <w:highlight w:val="yellow"/>
              </w:rPr>
            </w:pPr>
            <w:proofErr w:type="spellStart"/>
            <w:r w:rsidRPr="00B67BB3">
              <w:rPr>
                <w:sz w:val="18"/>
                <w:szCs w:val="18"/>
                <w:highlight w:val="yellow"/>
              </w:rPr>
              <w:t>Bir</w:t>
            </w:r>
            <w:proofErr w:type="spellEnd"/>
            <w:r w:rsidRPr="00B67BB3">
              <w:rPr>
                <w:sz w:val="18"/>
                <w:szCs w:val="18"/>
                <w:highlight w:val="yellow"/>
              </w:rPr>
              <w:t xml:space="preserve"> el </w:t>
            </w:r>
            <w:proofErr w:type="spellStart"/>
            <w:r w:rsidRPr="00B67BB3">
              <w:rPr>
                <w:sz w:val="18"/>
                <w:szCs w:val="18"/>
                <w:highlight w:val="yellow"/>
              </w:rPr>
              <w:t>Ater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&gt;35,000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MC-657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>Close (1980)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Wadi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Saoura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&gt;39,900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1-1787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Chavaillon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(1964)</w:t>
            </w:r>
          </w:p>
        </w:tc>
      </w:tr>
      <w:tr w:rsidR="0033091F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Haua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Fteah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15"/>
              <w:rPr>
                <w:spacing w:val="-4"/>
                <w:sz w:val="18"/>
                <w:szCs w:val="18"/>
              </w:rPr>
            </w:pPr>
            <w:r w:rsidRPr="00B67BB3">
              <w:rPr>
                <w:spacing w:val="-4"/>
                <w:sz w:val="18"/>
                <w:szCs w:val="18"/>
              </w:rPr>
              <w:t>47,000 ± 3200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62"/>
              <w:rPr>
                <w:spacing w:val="-2"/>
                <w:sz w:val="18"/>
                <w:szCs w:val="18"/>
              </w:rPr>
            </w:pPr>
            <w:r w:rsidRPr="00B67BB3">
              <w:rPr>
                <w:spacing w:val="-2"/>
                <w:sz w:val="18"/>
                <w:szCs w:val="18"/>
              </w:rPr>
              <w:t>GrN-2023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McBurney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(1967)</w:t>
            </w:r>
          </w:p>
        </w:tc>
      </w:tr>
    </w:tbl>
    <w:p w:rsidR="0033091F" w:rsidRPr="00F95720" w:rsidRDefault="0033091F" w:rsidP="0033091F">
      <w:pPr>
        <w:rPr>
          <w:color w:val="000000" w:themeColor="text1"/>
        </w:rPr>
      </w:pPr>
    </w:p>
    <w:p w:rsidR="0033091F" w:rsidRDefault="0033091F" w:rsidP="007F757F">
      <w:pPr>
        <w:rPr>
          <w:color w:val="000000" w:themeColor="text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699"/>
        <w:gridCol w:w="1042"/>
        <w:gridCol w:w="1775"/>
      </w:tblGrid>
      <w:tr w:rsidR="00A0081E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843316">
            <w:pPr>
              <w:ind w:left="36"/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843316">
            <w:pPr>
              <w:ind w:left="115"/>
              <w:rPr>
                <w:rFonts w:ascii="Garamond" w:hAnsi="Garamond"/>
                <w:spacing w:val="-4"/>
                <w:sz w:val="19"/>
                <w:szCs w:val="19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843316">
            <w:pPr>
              <w:ind w:left="62"/>
              <w:rPr>
                <w:rFonts w:ascii="Garamond" w:hAnsi="Garamond"/>
                <w:spacing w:val="-2"/>
                <w:sz w:val="19"/>
                <w:szCs w:val="19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843316">
            <w:pPr>
              <w:ind w:left="100"/>
              <w:rPr>
                <w:rFonts w:ascii="Garamond" w:hAnsi="Garamond"/>
                <w:spacing w:val="-4"/>
                <w:sz w:val="19"/>
                <w:szCs w:val="19"/>
              </w:rPr>
            </w:pP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noProof/>
                <w:sz w:val="18"/>
                <w:szCs w:val="18"/>
                <w:highlight w:val="yellow"/>
                <w:lang w:val="fr-FR"/>
              </w:rPr>
            </w:pPr>
            <w:r>
              <w:rPr>
                <w:spacing w:val="-4"/>
                <w:sz w:val="18"/>
                <w:szCs w:val="18"/>
                <w:highlight w:val="yellow"/>
                <w:lang w:val="fr-FR"/>
              </w:rPr>
              <w:t xml:space="preserve">Grotte des </w:t>
            </w:r>
            <w:r w:rsidRPr="00B67BB3">
              <w:rPr>
                <w:spacing w:val="-4"/>
                <w:sz w:val="18"/>
                <w:szCs w:val="18"/>
                <w:highlight w:val="yellow"/>
                <w:lang w:val="fr-FR"/>
              </w:rPr>
              <w:t>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2"/>
                <w:sz w:val="18"/>
                <w:szCs w:val="18"/>
              </w:rPr>
            </w:pPr>
            <w:r w:rsidRPr="00B67BB3">
              <w:rPr>
                <w:sz w:val="18"/>
                <w:szCs w:val="18"/>
                <w:highlight w:val="yellow"/>
              </w:rPr>
              <w:t>103</w:t>
            </w:r>
            <w:r w:rsidRPr="00B67BB3">
              <w:rPr>
                <w:spacing w:val="-2"/>
                <w:sz w:val="18"/>
                <w:szCs w:val="18"/>
                <w:highlight w:val="yellow"/>
              </w:rPr>
              <w:t>±</w:t>
            </w:r>
            <w:r w:rsidRPr="00B67BB3">
              <w:rPr>
                <w:sz w:val="18"/>
                <w:szCs w:val="18"/>
                <w:highlight w:val="yellow"/>
              </w:rPr>
              <w:t>3 ka OOOSL(OSL)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1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Jacobs et al. 2011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4144645" cy="0"/>
                      <wp:effectExtent l="9525" t="13335" r="8255" b="15240"/>
                      <wp:wrapSquare wrapText="bothSides"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4645" cy="0"/>
                              </a:xfrm>
                              <a:prstGeom prst="line">
                                <a:avLst/>
                              </a:prstGeom>
                              <a:noFill/>
                              <a:ln w="1206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6B4D4" id="Straight Connector 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1.2pt" to="326.3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iZHAIAADcEAAAOAAAAZHJzL2Uyb0RvYy54bWysU8GO2yAQvVfqPyDuWdupk2a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" o:allowincell="f" strokeweight=".95pt">
                      <w10:wrap type="square"/>
                    </v:line>
                  </w:pict>
                </mc:Fallback>
              </mc:AlternateContent>
            </w:r>
            <w:r w:rsidRPr="00B67BB3">
              <w:rPr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2"/>
                <w:sz w:val="18"/>
                <w:szCs w:val="18"/>
                <w:lang w:val="fr-FR"/>
              </w:rPr>
            </w:pPr>
            <w:r w:rsidRPr="00B67BB3">
              <w:rPr>
                <w:spacing w:val="-2"/>
                <w:sz w:val="18"/>
                <w:szCs w:val="18"/>
                <w:lang w:val="fr-FR"/>
              </w:rPr>
              <w:t>24,500 ± 600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10"/>
                <w:sz w:val="18"/>
                <w:szCs w:val="18"/>
                <w:lang w:val="fr-FR"/>
              </w:rPr>
            </w:pPr>
            <w:r w:rsidRPr="00B67BB3">
              <w:rPr>
                <w:spacing w:val="-10"/>
                <w:sz w:val="18"/>
                <w:szCs w:val="18"/>
                <w:lang w:val="fr-FR"/>
              </w:rPr>
              <w:t>Gif-2582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  <w:lang w:val="fr-FR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  <w:lang w:val="fr-FR"/>
              </w:rPr>
              <w:t>Delibrias</w:t>
            </w:r>
            <w:proofErr w:type="spellEnd"/>
            <w:r w:rsidRPr="00B67BB3">
              <w:rPr>
                <w:spacing w:val="-4"/>
                <w:sz w:val="18"/>
                <w:szCs w:val="18"/>
                <w:lang w:val="fr-FR"/>
              </w:rPr>
              <w:t xml:space="preserve"> </w:t>
            </w:r>
            <w:r w:rsidRPr="00B67BB3">
              <w:rPr>
                <w:i/>
                <w:iCs/>
                <w:spacing w:val="-4"/>
                <w:sz w:val="18"/>
                <w:szCs w:val="18"/>
                <w:lang w:val="fr-FR"/>
              </w:rPr>
              <w:t xml:space="preserve">et al. </w:t>
            </w:r>
            <w:r w:rsidRPr="00B67BB3">
              <w:rPr>
                <w:spacing w:val="-4"/>
                <w:sz w:val="18"/>
                <w:szCs w:val="18"/>
                <w:lang w:val="fr-FR"/>
              </w:rPr>
              <w:t>(1982)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4"/>
                <w:sz w:val="18"/>
                <w:szCs w:val="18"/>
                <w:lang w:val="fr-FR"/>
              </w:rPr>
            </w:pPr>
            <w:r w:rsidRPr="00B67BB3">
              <w:rPr>
                <w:spacing w:val="-4"/>
                <w:sz w:val="18"/>
                <w:szCs w:val="18"/>
                <w:lang w:val="fr-FR"/>
              </w:rPr>
              <w:t>23,700 ± 1000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10"/>
                <w:sz w:val="18"/>
                <w:szCs w:val="18"/>
              </w:rPr>
            </w:pPr>
            <w:r w:rsidRPr="00B67BB3">
              <w:rPr>
                <w:spacing w:val="-10"/>
                <w:sz w:val="18"/>
                <w:szCs w:val="18"/>
              </w:rPr>
              <w:t>Gif-2585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Delibrias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</w:t>
            </w:r>
            <w:r w:rsidRPr="00B67BB3">
              <w:rPr>
                <w:i/>
                <w:iCs/>
                <w:spacing w:val="-2"/>
                <w:sz w:val="18"/>
                <w:szCs w:val="18"/>
              </w:rPr>
              <w:t xml:space="preserve">et al. </w:t>
            </w:r>
            <w:r w:rsidRPr="00B67BB3">
              <w:rPr>
                <w:spacing w:val="-2"/>
                <w:sz w:val="18"/>
                <w:szCs w:val="18"/>
              </w:rPr>
              <w:t>(1982)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 xml:space="preserve">Dar </w:t>
            </w:r>
            <w:proofErr w:type="spellStart"/>
            <w:r w:rsidRPr="00B67BB3">
              <w:rPr>
                <w:sz w:val="18"/>
                <w:szCs w:val="18"/>
              </w:rPr>
              <w:t>es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&gt;27,000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UCLA-678B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Ruhlmann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(1951)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 xml:space="preserve">Dar </w:t>
            </w:r>
            <w:proofErr w:type="spellStart"/>
            <w:r w:rsidRPr="00B67BB3">
              <w:rPr>
                <w:spacing w:val="-2"/>
                <w:sz w:val="18"/>
                <w:szCs w:val="18"/>
                <w:highlight w:val="yellow"/>
              </w:rPr>
              <w:t>es</w:t>
            </w:r>
            <w:proofErr w:type="spellEnd"/>
            <w:r w:rsidRPr="00B67BB3">
              <w:rPr>
                <w:spacing w:val="-2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67BB3">
              <w:rPr>
                <w:spacing w:val="-2"/>
                <w:sz w:val="18"/>
                <w:szCs w:val="18"/>
                <w:highlight w:val="yellow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&gt;30,000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6"/>
                <w:sz w:val="18"/>
                <w:szCs w:val="18"/>
                <w:highlight w:val="yellow"/>
              </w:rPr>
            </w:pPr>
            <w:r w:rsidRPr="00B67BB3">
              <w:rPr>
                <w:spacing w:val="-6"/>
                <w:sz w:val="18"/>
                <w:szCs w:val="18"/>
                <w:highlight w:val="yellow"/>
              </w:rPr>
              <w:t>UCLA-878A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>Roche (1956)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18)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&gt;32,370 +2470/-1890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&gt;34,550 +3200/-2280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pacing w:val="-1"/>
                <w:sz w:val="18"/>
                <w:szCs w:val="18"/>
              </w:rPr>
            </w:pPr>
            <w:proofErr w:type="spellStart"/>
            <w:r w:rsidRPr="00B67BB3">
              <w:rPr>
                <w:spacing w:val="-1"/>
                <w:sz w:val="18"/>
                <w:szCs w:val="18"/>
              </w:rPr>
              <w:t>Taforalt</w:t>
            </w:r>
            <w:proofErr w:type="spellEnd"/>
            <w:r w:rsidRPr="00B67BB3">
              <w:rPr>
                <w:spacing w:val="-1"/>
                <w:sz w:val="18"/>
                <w:szCs w:val="18"/>
              </w:rPr>
              <w:t xml:space="preserve"> (base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6"/>
                <w:sz w:val="18"/>
                <w:szCs w:val="18"/>
              </w:rPr>
            </w:pPr>
            <w:r w:rsidRPr="00B67BB3">
              <w:rPr>
                <w:spacing w:val="-6"/>
                <w:sz w:val="18"/>
                <w:szCs w:val="18"/>
              </w:rPr>
              <w:t>G if-2588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(top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Gif-2589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Taforalt</w:t>
            </w:r>
            <w:proofErr w:type="spellEnd"/>
            <w:r w:rsidRPr="00B67BB3">
              <w:rPr>
                <w:sz w:val="18"/>
                <w:szCs w:val="18"/>
              </w:rPr>
              <w:t xml:space="preserve"> (layer 23)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8"/>
                <w:sz w:val="18"/>
                <w:szCs w:val="18"/>
              </w:rPr>
            </w:pPr>
            <w:r w:rsidRPr="00B67BB3">
              <w:rPr>
                <w:spacing w:val="-8"/>
                <w:sz w:val="18"/>
                <w:szCs w:val="18"/>
              </w:rPr>
              <w:t>Gif-2279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  <w:highlight w:val="yellow"/>
              </w:rPr>
            </w:pPr>
            <w:proofErr w:type="spellStart"/>
            <w:r w:rsidRPr="00B67BB3">
              <w:rPr>
                <w:sz w:val="18"/>
                <w:szCs w:val="18"/>
                <w:highlight w:val="yellow"/>
              </w:rPr>
              <w:t>Bir</w:t>
            </w:r>
            <w:proofErr w:type="spellEnd"/>
            <w:r w:rsidRPr="00B67BB3">
              <w:rPr>
                <w:sz w:val="18"/>
                <w:szCs w:val="18"/>
                <w:highlight w:val="yellow"/>
              </w:rPr>
              <w:t xml:space="preserve"> el </w:t>
            </w:r>
            <w:proofErr w:type="spellStart"/>
            <w:r w:rsidRPr="00B67BB3">
              <w:rPr>
                <w:sz w:val="18"/>
                <w:szCs w:val="18"/>
                <w:highlight w:val="yellow"/>
              </w:rPr>
              <w:t>Ater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&gt;35,000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z w:val="18"/>
                <w:szCs w:val="18"/>
                <w:highlight w:val="yellow"/>
              </w:rPr>
            </w:pPr>
            <w:r w:rsidRPr="00B67BB3">
              <w:rPr>
                <w:sz w:val="18"/>
                <w:szCs w:val="18"/>
                <w:highlight w:val="yellow"/>
              </w:rPr>
              <w:t>MC-657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spacing w:val="-2"/>
                <w:sz w:val="18"/>
                <w:szCs w:val="18"/>
                <w:highlight w:val="yellow"/>
              </w:rPr>
              <w:t>Close (1980)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Wadi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Saoura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&gt;39,900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z w:val="18"/>
                <w:szCs w:val="18"/>
              </w:rPr>
            </w:pPr>
            <w:r w:rsidRPr="00B67BB3">
              <w:rPr>
                <w:sz w:val="18"/>
                <w:szCs w:val="18"/>
              </w:rPr>
              <w:t>1-1787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spacing w:val="-2"/>
                <w:sz w:val="18"/>
                <w:szCs w:val="18"/>
              </w:rPr>
              <w:t>Chavaillon</w:t>
            </w:r>
            <w:proofErr w:type="spellEnd"/>
            <w:r w:rsidRPr="00B67BB3">
              <w:rPr>
                <w:spacing w:val="-2"/>
                <w:sz w:val="18"/>
                <w:szCs w:val="18"/>
              </w:rPr>
              <w:t xml:space="preserve"> (1964)</w:t>
            </w:r>
          </w:p>
        </w:tc>
      </w:tr>
      <w:tr w:rsidR="00A0081E" w:rsidRPr="00B67BB3" w:rsidTr="00843316"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36"/>
              <w:rPr>
                <w:sz w:val="18"/>
                <w:szCs w:val="18"/>
              </w:rPr>
            </w:pPr>
            <w:proofErr w:type="spellStart"/>
            <w:r w:rsidRPr="00B67BB3">
              <w:rPr>
                <w:sz w:val="18"/>
                <w:szCs w:val="18"/>
              </w:rPr>
              <w:t>Haua</w:t>
            </w:r>
            <w:proofErr w:type="spellEnd"/>
            <w:r w:rsidRPr="00B67BB3">
              <w:rPr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sz w:val="18"/>
                <w:szCs w:val="18"/>
              </w:rPr>
              <w:t>Fteah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15"/>
              <w:rPr>
                <w:spacing w:val="-4"/>
                <w:sz w:val="18"/>
                <w:szCs w:val="18"/>
              </w:rPr>
            </w:pPr>
            <w:r w:rsidRPr="00B67BB3">
              <w:rPr>
                <w:spacing w:val="-4"/>
                <w:sz w:val="18"/>
                <w:szCs w:val="18"/>
              </w:rPr>
              <w:t>47,000 ± 3200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62"/>
              <w:rPr>
                <w:spacing w:val="-2"/>
                <w:sz w:val="18"/>
                <w:szCs w:val="18"/>
              </w:rPr>
            </w:pPr>
            <w:r w:rsidRPr="00B67BB3">
              <w:rPr>
                <w:spacing w:val="-2"/>
                <w:sz w:val="18"/>
                <w:szCs w:val="18"/>
              </w:rPr>
              <w:t>GrN-2023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843316">
            <w:pPr>
              <w:ind w:left="100"/>
              <w:rPr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spacing w:val="-4"/>
                <w:sz w:val="18"/>
                <w:szCs w:val="18"/>
              </w:rPr>
              <w:t>McBurney</w:t>
            </w:r>
            <w:proofErr w:type="spellEnd"/>
            <w:r w:rsidRPr="00B67BB3">
              <w:rPr>
                <w:spacing w:val="-4"/>
                <w:sz w:val="18"/>
                <w:szCs w:val="18"/>
              </w:rPr>
              <w:t xml:space="preserve"> (1967)</w:t>
            </w:r>
          </w:p>
        </w:tc>
      </w:tr>
    </w:tbl>
    <w:p w:rsidR="00A0081E" w:rsidRPr="00F95720" w:rsidRDefault="00A0081E" w:rsidP="007F757F">
      <w:pPr>
        <w:rPr>
          <w:color w:val="000000" w:themeColor="text1"/>
        </w:rPr>
      </w:pPr>
    </w:p>
    <w:p w:rsidR="00CA0EF4" w:rsidRPr="00F95720" w:rsidRDefault="00CA0EF4" w:rsidP="00E9087F">
      <w:pPr>
        <w:spacing w:after="0"/>
        <w:rPr>
          <w:b w:val="0"/>
          <w:color w:val="000000" w:themeColor="text1"/>
        </w:rPr>
      </w:pPr>
    </w:p>
    <w:p w:rsidR="00E9087F" w:rsidRPr="00F95720" w:rsidRDefault="00E9087F" w:rsidP="00E9087F">
      <w:pPr>
        <w:spacing w:after="0"/>
        <w:rPr>
          <w:b w:val="0"/>
          <w:color w:val="000000" w:themeColor="text1"/>
        </w:rPr>
      </w:pPr>
      <w:r w:rsidRPr="00F95720">
        <w:rPr>
          <w:color w:val="000000" w:themeColor="text1"/>
        </w:rPr>
        <w:t>References:</w:t>
      </w:r>
    </w:p>
    <w:p w:rsidR="00F95720" w:rsidRDefault="007F757F" w:rsidP="00F95720">
      <w:pPr>
        <w:spacing w:after="0" w:line="240" w:lineRule="auto"/>
        <w:rPr>
          <w:rFonts w:eastAsia="Times New Roman"/>
        </w:rPr>
      </w:pPr>
      <w:proofErr w:type="spellStart"/>
      <w:r w:rsidRPr="007F757F">
        <w:rPr>
          <w:rFonts w:eastAsia="Times New Roman"/>
        </w:rPr>
        <w:t>Ferring</w:t>
      </w:r>
      <w:proofErr w:type="spellEnd"/>
      <w:r w:rsidRPr="007F757F">
        <w:rPr>
          <w:rFonts w:eastAsia="Times New Roman"/>
        </w:rPr>
        <w:t xml:space="preserve">, C.R., 1975. The Aterian in north African prehistory. </w:t>
      </w:r>
      <w:r w:rsidRPr="007F757F">
        <w:rPr>
          <w:rFonts w:eastAsia="Times New Roman"/>
          <w:i/>
          <w:iCs/>
        </w:rPr>
        <w:t>Problems in prehistory: North Africa and the Levant</w:t>
      </w:r>
      <w:r w:rsidRPr="007F757F">
        <w:rPr>
          <w:rFonts w:eastAsia="Times New Roman"/>
        </w:rPr>
        <w:t>, pp.113-126.</w:t>
      </w:r>
    </w:p>
    <w:p w:rsidR="005A6325" w:rsidRDefault="005A6325" w:rsidP="00F95720">
      <w:pPr>
        <w:spacing w:after="0" w:line="240" w:lineRule="auto"/>
        <w:rPr>
          <w:rFonts w:eastAsia="Times New Roman"/>
        </w:rPr>
      </w:pPr>
    </w:p>
    <w:p w:rsidR="00843316" w:rsidRDefault="005A6325" w:rsidP="00F95720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Hublin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McPherron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eds., 2012.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Modern Origins: A North African Perspective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:rsidR="005A6325" w:rsidRPr="00F95720" w:rsidRDefault="005A6325" w:rsidP="00F95720">
      <w:pPr>
        <w:spacing w:after="0" w:line="240" w:lineRule="auto"/>
        <w:rPr>
          <w:rFonts w:eastAsia="Times New Roman"/>
        </w:rPr>
      </w:pPr>
    </w:p>
    <w:p w:rsidR="00E9087F" w:rsidRDefault="00E9087F" w:rsidP="00F95720">
      <w:pPr>
        <w:spacing w:after="0" w:line="240" w:lineRule="auto"/>
        <w:rPr>
          <w:color w:val="000000" w:themeColor="text1"/>
        </w:rPr>
      </w:pPr>
      <w:r w:rsidRPr="00F95720">
        <w:rPr>
          <w:color w:val="000000" w:themeColor="text1"/>
        </w:rPr>
        <w:t xml:space="preserve">Mercier, N, L. </w:t>
      </w:r>
      <w:proofErr w:type="spellStart"/>
      <w:r w:rsidRPr="00F95720">
        <w:rPr>
          <w:color w:val="000000" w:themeColor="text1"/>
        </w:rPr>
        <w:t>Wengler</w:t>
      </w:r>
      <w:proofErr w:type="spellEnd"/>
      <w:r w:rsidRPr="00F95720">
        <w:rPr>
          <w:color w:val="000000" w:themeColor="text1"/>
        </w:rPr>
        <w:t xml:space="preserve">, H. </w:t>
      </w:r>
      <w:proofErr w:type="spellStart"/>
      <w:r w:rsidRPr="00F95720">
        <w:rPr>
          <w:color w:val="000000" w:themeColor="text1"/>
        </w:rPr>
        <w:t>Valladas</w:t>
      </w:r>
      <w:proofErr w:type="spellEnd"/>
      <w:r w:rsidRPr="00F95720">
        <w:rPr>
          <w:color w:val="000000" w:themeColor="text1"/>
        </w:rPr>
        <w:t xml:space="preserve">, J.-L. </w:t>
      </w:r>
      <w:proofErr w:type="spellStart"/>
      <w:r w:rsidRPr="00F95720">
        <w:rPr>
          <w:color w:val="000000" w:themeColor="text1"/>
        </w:rPr>
        <w:t>Joron</w:t>
      </w:r>
      <w:proofErr w:type="spellEnd"/>
      <w:r w:rsidRPr="00F95720">
        <w:rPr>
          <w:color w:val="000000" w:themeColor="text1"/>
        </w:rPr>
        <w:t xml:space="preserve">, L. </w:t>
      </w:r>
      <w:proofErr w:type="spellStart"/>
      <w:r w:rsidRPr="00F95720">
        <w:rPr>
          <w:color w:val="000000" w:themeColor="text1"/>
        </w:rPr>
        <w:t>Froget</w:t>
      </w:r>
      <w:proofErr w:type="spellEnd"/>
      <w:r w:rsidRPr="00F95720">
        <w:rPr>
          <w:color w:val="000000" w:themeColor="text1"/>
        </w:rPr>
        <w:t xml:space="preserve">, J.-L. </w:t>
      </w:r>
      <w:proofErr w:type="spellStart"/>
      <w:r w:rsidRPr="00F95720">
        <w:rPr>
          <w:color w:val="000000" w:themeColor="text1"/>
        </w:rPr>
        <w:t>Reyss</w:t>
      </w:r>
      <w:proofErr w:type="spellEnd"/>
      <w:r w:rsidRPr="00F95720">
        <w:rPr>
          <w:color w:val="000000" w:themeColor="text1"/>
        </w:rPr>
        <w:t xml:space="preserve">. 2007. </w:t>
      </w:r>
      <w:r w:rsidR="00770DD4" w:rsidRPr="00F95720">
        <w:t xml:space="preserve">The </w:t>
      </w:r>
      <w:proofErr w:type="spellStart"/>
      <w:r w:rsidR="00770DD4" w:rsidRPr="00F95720">
        <w:t>Rhafas</w:t>
      </w:r>
      <w:proofErr w:type="spellEnd"/>
      <w:r w:rsidR="00770DD4" w:rsidRPr="00F95720">
        <w:t xml:space="preserve"> Cave (Morocco): Chronology of the Mousterian and Aterian archaeological occupations and their implications for Quaternary geochronology based on luminescence (TL/OSL) age determinations, </w:t>
      </w:r>
      <w:hyperlink r:id="rId5" w:tooltip="Go to Quaternary Geochronology on ScienceDirect" w:history="1">
        <w:r w:rsidRPr="00F95720">
          <w:rPr>
            <w:i/>
            <w:color w:val="000000" w:themeColor="text1"/>
          </w:rPr>
          <w:t>Quaternary Geochronology</w:t>
        </w:r>
      </w:hyperlink>
      <w:r w:rsidRPr="00F95720">
        <w:rPr>
          <w:color w:val="000000" w:themeColor="text1"/>
        </w:rPr>
        <w:t>, 2:4, 309-313</w:t>
      </w:r>
      <w:r w:rsidR="00770DD4" w:rsidRPr="00F95720">
        <w:rPr>
          <w:color w:val="000000" w:themeColor="text1"/>
        </w:rPr>
        <w:t>.</w:t>
      </w:r>
    </w:p>
    <w:p w:rsidR="00843316" w:rsidRPr="00F95720" w:rsidRDefault="00843316" w:rsidP="00F95720">
      <w:pPr>
        <w:spacing w:after="0" w:line="240" w:lineRule="auto"/>
        <w:rPr>
          <w:rFonts w:eastAsia="Times New Roman"/>
        </w:rPr>
      </w:pPr>
    </w:p>
    <w:p w:rsidR="007F757F" w:rsidRDefault="007F757F" w:rsidP="007F757F">
      <w:pPr>
        <w:spacing w:after="0" w:line="240" w:lineRule="auto"/>
        <w:rPr>
          <w:rFonts w:eastAsia="Times New Roman"/>
          <w:lang w:val="fr-FR"/>
        </w:rPr>
      </w:pPr>
      <w:proofErr w:type="spellStart"/>
      <w:r w:rsidRPr="00A0081E">
        <w:rPr>
          <w:rFonts w:eastAsia="Times New Roman"/>
          <w:lang w:val="fr-FR"/>
        </w:rPr>
        <w:t>Petit-Maire</w:t>
      </w:r>
      <w:proofErr w:type="spellEnd"/>
      <w:r w:rsidRPr="00A0081E">
        <w:rPr>
          <w:rFonts w:eastAsia="Times New Roman"/>
          <w:lang w:val="fr-FR"/>
        </w:rPr>
        <w:t xml:space="preserve">, N. </w:t>
      </w:r>
      <w:proofErr w:type="spellStart"/>
      <w:r w:rsidRPr="00A0081E">
        <w:rPr>
          <w:rFonts w:eastAsia="Times New Roman"/>
          <w:lang w:val="fr-FR"/>
        </w:rPr>
        <w:t>ed</w:t>
      </w:r>
      <w:proofErr w:type="spellEnd"/>
      <w:r w:rsidRPr="00A0081E">
        <w:rPr>
          <w:rFonts w:eastAsia="Times New Roman"/>
          <w:lang w:val="fr-FR"/>
        </w:rPr>
        <w:t xml:space="preserve">., 1982. </w:t>
      </w:r>
      <w:r w:rsidRPr="00A0081E">
        <w:rPr>
          <w:rFonts w:eastAsia="Times New Roman"/>
          <w:i/>
          <w:iCs/>
          <w:lang w:val="fr-FR"/>
        </w:rPr>
        <w:t xml:space="preserve">Le </w:t>
      </w:r>
      <w:proofErr w:type="spellStart"/>
      <w:proofErr w:type="gramStart"/>
      <w:r w:rsidRPr="00A0081E">
        <w:rPr>
          <w:rFonts w:eastAsia="Times New Roman"/>
          <w:i/>
          <w:iCs/>
          <w:lang w:val="fr-FR"/>
        </w:rPr>
        <w:t>Shati</w:t>
      </w:r>
      <w:proofErr w:type="spellEnd"/>
      <w:r w:rsidRPr="00A0081E">
        <w:rPr>
          <w:rFonts w:eastAsia="Times New Roman"/>
          <w:i/>
          <w:iCs/>
          <w:lang w:val="fr-FR"/>
        </w:rPr>
        <w:t>:</w:t>
      </w:r>
      <w:proofErr w:type="gramEnd"/>
      <w:r w:rsidRPr="00A0081E">
        <w:rPr>
          <w:rFonts w:eastAsia="Times New Roman"/>
          <w:i/>
          <w:iCs/>
          <w:lang w:val="fr-FR"/>
        </w:rPr>
        <w:t xml:space="preserve"> Lac </w:t>
      </w:r>
      <w:proofErr w:type="spellStart"/>
      <w:r w:rsidRPr="00A0081E">
        <w:rPr>
          <w:rFonts w:eastAsia="Times New Roman"/>
          <w:i/>
          <w:iCs/>
          <w:lang w:val="fr-FR"/>
        </w:rPr>
        <w:t>pléistocene</w:t>
      </w:r>
      <w:proofErr w:type="spellEnd"/>
      <w:r w:rsidRPr="00A0081E">
        <w:rPr>
          <w:rFonts w:eastAsia="Times New Roman"/>
          <w:i/>
          <w:iCs/>
          <w:lang w:val="fr-FR"/>
        </w:rPr>
        <w:t xml:space="preserve"> du Fezzan (Libye)</w:t>
      </w:r>
      <w:r w:rsidRPr="00A0081E">
        <w:rPr>
          <w:rFonts w:eastAsia="Times New Roman"/>
          <w:lang w:val="fr-FR"/>
        </w:rPr>
        <w:t>. CNRS.</w:t>
      </w:r>
    </w:p>
    <w:p w:rsidR="00843316" w:rsidRPr="00A0081E" w:rsidRDefault="00843316" w:rsidP="007F757F">
      <w:pPr>
        <w:spacing w:after="0" w:line="240" w:lineRule="auto"/>
        <w:rPr>
          <w:rFonts w:eastAsia="Times New Roman"/>
          <w:lang w:val="fr-FR"/>
        </w:rPr>
      </w:pPr>
    </w:p>
    <w:p w:rsidR="00F95720" w:rsidRDefault="00F95720" w:rsidP="00F95720">
      <w:pPr>
        <w:spacing w:after="0" w:line="240" w:lineRule="auto"/>
        <w:rPr>
          <w:rFonts w:eastAsia="Times New Roman"/>
        </w:rPr>
      </w:pPr>
      <w:proofErr w:type="spellStart"/>
      <w:r w:rsidRPr="00A0081E">
        <w:rPr>
          <w:rFonts w:eastAsia="Times New Roman"/>
          <w:lang w:val="fr-FR"/>
        </w:rPr>
        <w:t>Tixier</w:t>
      </w:r>
      <w:proofErr w:type="spellEnd"/>
      <w:r w:rsidRPr="00A0081E">
        <w:rPr>
          <w:rFonts w:eastAsia="Times New Roman"/>
          <w:lang w:val="fr-FR"/>
        </w:rPr>
        <w:t xml:space="preserve">, J., 1967. </w:t>
      </w:r>
      <w:r w:rsidRPr="00A0081E">
        <w:rPr>
          <w:rFonts w:eastAsia="Times New Roman"/>
          <w:i/>
          <w:iCs/>
          <w:lang w:val="fr-FR"/>
        </w:rPr>
        <w:t xml:space="preserve">Procédés d'analyse et questions de terminologie concernant l'étude des ensembles industriels du </w:t>
      </w:r>
      <w:proofErr w:type="spellStart"/>
      <w:r w:rsidRPr="00A0081E">
        <w:rPr>
          <w:rFonts w:eastAsia="Times New Roman"/>
          <w:i/>
          <w:iCs/>
          <w:lang w:val="fr-FR"/>
        </w:rPr>
        <w:t>Paléolothique</w:t>
      </w:r>
      <w:proofErr w:type="spellEnd"/>
      <w:r w:rsidRPr="00A0081E">
        <w:rPr>
          <w:rFonts w:eastAsia="Times New Roman"/>
          <w:i/>
          <w:iCs/>
          <w:lang w:val="fr-FR"/>
        </w:rPr>
        <w:t xml:space="preserve"> récent et de l'Epipaléolithique dans l'Afrique du nord-ouest</w:t>
      </w:r>
      <w:r w:rsidRPr="00A0081E">
        <w:rPr>
          <w:rFonts w:eastAsia="Times New Roman"/>
          <w:lang w:val="fr-FR"/>
        </w:rPr>
        <w:t xml:space="preserve">. </w:t>
      </w:r>
      <w:r w:rsidRPr="00F95720">
        <w:rPr>
          <w:rFonts w:eastAsia="Times New Roman"/>
        </w:rPr>
        <w:t>University of Chicago Press.</w:t>
      </w:r>
    </w:p>
    <w:p w:rsidR="00843316" w:rsidRPr="00F95720" w:rsidRDefault="00843316" w:rsidP="00F95720">
      <w:pPr>
        <w:spacing w:after="0" w:line="240" w:lineRule="auto"/>
        <w:rPr>
          <w:rFonts w:eastAsia="Times New Roman"/>
        </w:rPr>
      </w:pPr>
    </w:p>
    <w:p w:rsidR="00E9087F" w:rsidRPr="00F95720" w:rsidRDefault="00F95720" w:rsidP="00E9087F">
      <w:proofErr w:type="spellStart"/>
      <w:r w:rsidRPr="00F95720">
        <w:t>Wendorf</w:t>
      </w:r>
      <w:proofErr w:type="spellEnd"/>
      <w:r w:rsidRPr="00F95720">
        <w:t xml:space="preserve">, F. and </w:t>
      </w:r>
      <w:proofErr w:type="spellStart"/>
      <w:r w:rsidRPr="00F95720">
        <w:t>Schild</w:t>
      </w:r>
      <w:proofErr w:type="spellEnd"/>
      <w:r w:rsidRPr="00F95720">
        <w:t xml:space="preserve">, R., 1992. “The Middle Paleolithic of North Africa: a status report,” </w:t>
      </w:r>
      <w:r w:rsidRPr="00F95720">
        <w:rPr>
          <w:i/>
          <w:iCs/>
        </w:rPr>
        <w:t>New light on the Northeast African past</w:t>
      </w:r>
      <w:r w:rsidRPr="00F95720">
        <w:t>, pp.40-78.</w:t>
      </w:r>
    </w:p>
    <w:sectPr w:rsidR="00E9087F" w:rsidRPr="00F9572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7F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06FC2"/>
    <w:rsid w:val="0031028B"/>
    <w:rsid w:val="00314FE3"/>
    <w:rsid w:val="00316204"/>
    <w:rsid w:val="00317A65"/>
    <w:rsid w:val="00321B6F"/>
    <w:rsid w:val="00322B59"/>
    <w:rsid w:val="0033091F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37BBC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D6ED9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7AA5"/>
    <w:rsid w:val="00590B9E"/>
    <w:rsid w:val="005A387C"/>
    <w:rsid w:val="005A4543"/>
    <w:rsid w:val="005A6325"/>
    <w:rsid w:val="005B3BB6"/>
    <w:rsid w:val="005B741C"/>
    <w:rsid w:val="005C0557"/>
    <w:rsid w:val="005D0D38"/>
    <w:rsid w:val="005D1CC0"/>
    <w:rsid w:val="005D6CAA"/>
    <w:rsid w:val="005E2620"/>
    <w:rsid w:val="005E2E20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70071E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0DD4"/>
    <w:rsid w:val="00771A5F"/>
    <w:rsid w:val="007802ED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E1A58"/>
    <w:rsid w:val="007F2D0E"/>
    <w:rsid w:val="007F757F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3316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B5D73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0DC"/>
    <w:rsid w:val="00955C53"/>
    <w:rsid w:val="00955D64"/>
    <w:rsid w:val="00962634"/>
    <w:rsid w:val="0096275C"/>
    <w:rsid w:val="00975627"/>
    <w:rsid w:val="00976D01"/>
    <w:rsid w:val="00977633"/>
    <w:rsid w:val="0098066C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9F7558"/>
    <w:rsid w:val="00A006CF"/>
    <w:rsid w:val="00A0081E"/>
    <w:rsid w:val="00A04001"/>
    <w:rsid w:val="00A041C7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352E7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5840"/>
    <w:rsid w:val="00BF65DF"/>
    <w:rsid w:val="00C01A68"/>
    <w:rsid w:val="00C26AB0"/>
    <w:rsid w:val="00C34029"/>
    <w:rsid w:val="00C34F51"/>
    <w:rsid w:val="00C4210B"/>
    <w:rsid w:val="00C43E90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0EF4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243BD"/>
    <w:rsid w:val="00D30A65"/>
    <w:rsid w:val="00D35A6C"/>
    <w:rsid w:val="00D4486D"/>
    <w:rsid w:val="00D479DB"/>
    <w:rsid w:val="00D710BD"/>
    <w:rsid w:val="00D73DC3"/>
    <w:rsid w:val="00D76238"/>
    <w:rsid w:val="00D81190"/>
    <w:rsid w:val="00D95765"/>
    <w:rsid w:val="00D97EAD"/>
    <w:rsid w:val="00DB43E9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358E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394C"/>
    <w:rsid w:val="00E75408"/>
    <w:rsid w:val="00E85105"/>
    <w:rsid w:val="00E86175"/>
    <w:rsid w:val="00E9087F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95720"/>
    <w:rsid w:val="00F97EEB"/>
    <w:rsid w:val="00FA193D"/>
    <w:rsid w:val="00FA2A87"/>
    <w:rsid w:val="00FA6561"/>
    <w:rsid w:val="00FB6D34"/>
    <w:rsid w:val="00FB6F43"/>
    <w:rsid w:val="00FB7B61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9220"/>
  <w15:chartTrackingRefBased/>
  <w15:docId w15:val="{1FB0AC74-C52C-4337-B1D8-04CD5965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DD4"/>
    <w:pPr>
      <w:spacing w:before="100" w:beforeAutospacing="1" w:after="100" w:afterAutospacing="1" w:line="240" w:lineRule="auto"/>
      <w:outlineLvl w:val="0"/>
    </w:pPr>
    <w:rPr>
      <w:rFonts w:eastAsia="Times New Roman"/>
      <w:b w:val="0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character" w:styleId="Strong">
    <w:name w:val="Strong"/>
    <w:qFormat/>
    <w:rsid w:val="00E9087F"/>
    <w:rPr>
      <w:b w:val="0"/>
      <w:bCs/>
    </w:rPr>
  </w:style>
  <w:style w:type="character" w:styleId="Hyperlink">
    <w:name w:val="Hyperlink"/>
    <w:basedOn w:val="DefaultParagraphFont"/>
    <w:uiPriority w:val="99"/>
    <w:semiHidden/>
    <w:unhideWhenUsed/>
    <w:rsid w:val="00E9087F"/>
    <w:rPr>
      <w:color w:val="0000FF"/>
      <w:u w:val="single"/>
    </w:rPr>
  </w:style>
  <w:style w:type="paragraph" w:customStyle="1" w:styleId="volissue">
    <w:name w:val="volissue"/>
    <w:basedOn w:val="Normal"/>
    <w:rsid w:val="00E9087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0DD4"/>
    <w:rPr>
      <w:rFonts w:ascii="Times New Roman" w:eastAsia="Times New Roman" w:hAnsi="Times New Roman" w:cs="Times New Roman"/>
      <w:b w:val="0"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journal/187110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2018-12-31T16:24:00Z</dcterms:created>
  <dcterms:modified xsi:type="dcterms:W3CDTF">2019-01-16T02:27:00Z</dcterms:modified>
</cp:coreProperties>
</file>