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09535F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09535F">
        <w:rPr>
          <w:rFonts w:ascii="Times New Roman" w:hAnsi="Times New Roman" w:cs="Times New Roman"/>
          <w:sz w:val="24"/>
          <w:szCs w:val="24"/>
        </w:rPr>
        <w:t>-England-Swanscombe</w:t>
      </w:r>
      <w:r w:rsidR="00406D12">
        <w:rPr>
          <w:rFonts w:ascii="Times New Roman" w:hAnsi="Times New Roman" w:cs="Times New Roman"/>
          <w:sz w:val="24"/>
          <w:szCs w:val="24"/>
        </w:rPr>
        <w:t xml:space="preserve"> Area</w:t>
      </w:r>
      <w:r w:rsidR="006E65F7">
        <w:rPr>
          <w:rFonts w:ascii="Times New Roman" w:hAnsi="Times New Roman" w:cs="Times New Roman"/>
          <w:sz w:val="24"/>
          <w:szCs w:val="24"/>
        </w:rPr>
        <w:t xml:space="preserve">, </w:t>
      </w:r>
      <w:r w:rsidRPr="0009535F">
        <w:rPr>
          <w:rFonts w:ascii="Times New Roman" w:hAnsi="Times New Roman" w:cs="Times New Roman"/>
          <w:sz w:val="24"/>
          <w:szCs w:val="24"/>
        </w:rPr>
        <w:t>Kent-</w:t>
      </w:r>
      <w:r w:rsidR="006E65F7">
        <w:rPr>
          <w:rFonts w:ascii="Times New Roman" w:hAnsi="Times New Roman" w:cs="Times New Roman"/>
          <w:sz w:val="24"/>
          <w:szCs w:val="24"/>
        </w:rPr>
        <w:t xml:space="preserve">Acheulian </w:t>
      </w:r>
      <w:r w:rsidRPr="0009535F">
        <w:rPr>
          <w:rFonts w:ascii="Times New Roman" w:hAnsi="Times New Roman" w:cs="Times New Roman"/>
          <w:sz w:val="24"/>
          <w:szCs w:val="24"/>
        </w:rPr>
        <w:t>Biface-350,000-200,000 BP</w:t>
      </w:r>
    </w:p>
    <w:p w:rsidR="0009535F" w:rsidRDefault="008D3B6D" w:rsidP="00F904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7A874" wp14:editId="2D8EFD0D">
            <wp:extent cx="2078182" cy="37449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814" cy="37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DEC" w:rsidRPr="00D04DEC">
        <w:rPr>
          <w:noProof/>
        </w:rPr>
        <w:t xml:space="preserve"> </w:t>
      </w:r>
      <w:r w:rsidR="00D04DEC">
        <w:rPr>
          <w:noProof/>
        </w:rPr>
        <w:drawing>
          <wp:inline distT="0" distB="0" distL="0" distR="0" wp14:anchorId="0985F80E" wp14:editId="61BF6825">
            <wp:extent cx="1995054" cy="3746982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003" cy="38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6D" w:rsidRPr="0009535F" w:rsidRDefault="008D3B6D" w:rsidP="00F9043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8D3B6D" w:rsidRDefault="00F90431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8D3B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55B6D" wp14:editId="11D14290">
                <wp:simplePos x="0" y="0"/>
                <wp:positionH relativeFrom="margin">
                  <wp:posOffset>661035</wp:posOffset>
                </wp:positionH>
                <wp:positionV relativeFrom="paragraph">
                  <wp:posOffset>8255</wp:posOffset>
                </wp:positionV>
                <wp:extent cx="2360930" cy="5289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B6D" w:rsidRPr="00B32570" w:rsidRDefault="00B32570" w:rsidP="00F9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2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 1. </w:t>
                            </w:r>
                            <w:r w:rsidR="008D3B6D" w:rsidRPr="00B32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Swanscombe Area, Kent-Acheulian Biface, 350,000-200,000 BP, ventral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55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05pt;margin-top:.65pt;width:185.9pt;height:41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">
                <v:textbox>
                  <w:txbxContent>
                    <w:p w:rsidR="008D3B6D" w:rsidRPr="00B32570" w:rsidRDefault="00B32570" w:rsidP="00F9043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2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 1. </w:t>
                      </w:r>
                      <w:r w:rsidR="008D3B6D" w:rsidRPr="00B32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Swanscombe Area, Kent-Acheulian Biface, 350,000-200,000 BP, ventral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6D12">
        <w:rPr>
          <w:rStyle w:val="Strong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526E0" wp14:editId="4D412402">
                <wp:simplePos x="0" y="0"/>
                <wp:positionH relativeFrom="column">
                  <wp:posOffset>3267288</wp:posOffset>
                </wp:positionH>
                <wp:positionV relativeFrom="paragraph">
                  <wp:posOffset>8331</wp:posOffset>
                </wp:positionV>
                <wp:extent cx="2360930" cy="530225"/>
                <wp:effectExtent l="0" t="0" r="1143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D12" w:rsidRPr="00B32570" w:rsidRDefault="00B32570" w:rsidP="00406D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32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Fig. 2. </w:t>
                            </w:r>
                            <w:r w:rsidR="00406D12" w:rsidRPr="00B32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Swanscombe Area, Kent-Acheulian Biface, 350,000-200,000 BP, </w:t>
                            </w:r>
                            <w:r w:rsidR="00406D12" w:rsidRPr="00B32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dorsa</w:t>
                            </w:r>
                            <w:r w:rsidR="00406D12" w:rsidRPr="00B325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 view</w:t>
                            </w:r>
                          </w:p>
                          <w:p w:rsidR="00406D12" w:rsidRDefault="00406D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26E0" id="_x0000_s1027" type="#_x0000_t202" style="position:absolute;margin-left:257.25pt;margin-top:.65pt;width:185.9pt;height:41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NmIwIAAEsEAAAOAAAAZHJzL2Uyb0RvYy54bWysVNtu2zAMfR+wfxD0vthxkq4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">
                <v:textbox>
                  <w:txbxContent>
                    <w:p w:rsidR="00406D12" w:rsidRPr="00B32570" w:rsidRDefault="00B32570" w:rsidP="00406D1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32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Fig. 2. </w:t>
                      </w:r>
                      <w:r w:rsidR="00406D12" w:rsidRPr="00B32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Swanscombe Area, Kent-Acheulian Biface, 350,000-200,000 BP, </w:t>
                      </w:r>
                      <w:r w:rsidR="00406D12" w:rsidRPr="00B32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dorsa</w:t>
                      </w:r>
                      <w:r w:rsidR="00406D12" w:rsidRPr="00B325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 view</w:t>
                      </w:r>
                    </w:p>
                    <w:p w:rsidR="00406D12" w:rsidRDefault="00406D12"/>
                  </w:txbxContent>
                </v:textbox>
                <w10:wrap type="square"/>
              </v:shape>
            </w:pict>
          </mc:Fallback>
        </mc:AlternateContent>
      </w:r>
    </w:p>
    <w:p w:rsidR="008D3B6D" w:rsidRDefault="008D3B6D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F90431" w:rsidRDefault="00F90431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830895" w:rsidRDefault="00830895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09535F" w:rsidRPr="006E65F7" w:rsidRDefault="0009535F" w:rsidP="0009535F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6E65F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6E65F7" w:rsidRPr="0009535F">
        <w:rPr>
          <w:rFonts w:ascii="Times New Roman" w:hAnsi="Times New Roman" w:cs="Times New Roman"/>
          <w:sz w:val="24"/>
          <w:szCs w:val="24"/>
        </w:rPr>
        <w:t>England-near Swanscombe</w:t>
      </w:r>
      <w:r w:rsidR="006E65F7">
        <w:rPr>
          <w:rFonts w:ascii="Times New Roman" w:hAnsi="Times New Roman" w:cs="Times New Roman"/>
          <w:sz w:val="24"/>
          <w:szCs w:val="24"/>
        </w:rPr>
        <w:t xml:space="preserve">, </w:t>
      </w:r>
      <w:r w:rsidR="006E65F7" w:rsidRPr="0009535F">
        <w:rPr>
          <w:rFonts w:ascii="Times New Roman" w:hAnsi="Times New Roman" w:cs="Times New Roman"/>
          <w:sz w:val="24"/>
          <w:szCs w:val="24"/>
        </w:rPr>
        <w:t>Kent-</w:t>
      </w:r>
      <w:r w:rsidR="006E65F7">
        <w:rPr>
          <w:rFonts w:ascii="Times New Roman" w:hAnsi="Times New Roman" w:cs="Times New Roman"/>
          <w:sz w:val="24"/>
          <w:szCs w:val="24"/>
        </w:rPr>
        <w:t xml:space="preserve">Acheulian </w:t>
      </w:r>
      <w:r w:rsidR="006E65F7" w:rsidRPr="0009535F">
        <w:rPr>
          <w:rFonts w:ascii="Times New Roman" w:hAnsi="Times New Roman" w:cs="Times New Roman"/>
          <w:sz w:val="24"/>
          <w:szCs w:val="24"/>
        </w:rPr>
        <w:t>Biface-350,000-200,000 BP</w:t>
      </w:r>
    </w:p>
    <w:p w:rsidR="006E65F7" w:rsidRDefault="0009535F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="00B3257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B32570" w:rsidRPr="001301AB">
        <w:rPr>
          <w:rStyle w:val="Strong"/>
          <w:rFonts w:ascii="Times New Roman" w:hAnsi="Times New Roman" w:cs="Times New Roman"/>
          <w:b w:val="0"/>
          <w:sz w:val="24"/>
          <w:szCs w:val="24"/>
        </w:rPr>
        <w:t>A13</w:t>
      </w:r>
    </w:p>
    <w:p w:rsidR="0009535F" w:rsidRPr="006E65F7" w:rsidRDefault="0009535F" w:rsidP="000953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 w:rsidRPr="003A5CCE">
        <w:rPr>
          <w:rFonts w:ascii="Times New Roman" w:hAnsi="Times New Roman" w:cs="Times New Roman"/>
          <w:sz w:val="24"/>
          <w:szCs w:val="24"/>
        </w:rPr>
        <w:t>GN772.</w:t>
      </w:r>
      <w:proofErr w:type="gramStart"/>
      <w:r w:rsidR="006E65F7" w:rsidRPr="003A5CCE">
        <w:rPr>
          <w:rFonts w:ascii="Times New Roman" w:hAnsi="Times New Roman" w:cs="Times New Roman"/>
          <w:sz w:val="24"/>
          <w:szCs w:val="24"/>
        </w:rPr>
        <w:t>22.G</w:t>
      </w:r>
      <w:proofErr w:type="gramEnd"/>
      <w:r w:rsidR="006E65F7" w:rsidRPr="003A5CCE">
        <w:rPr>
          <w:rFonts w:ascii="Times New Roman" w:hAnsi="Times New Roman" w:cs="Times New Roman"/>
          <w:sz w:val="24"/>
          <w:szCs w:val="24"/>
        </w:rPr>
        <w:t>7</w:t>
      </w:r>
      <w:r w:rsidR="006E65F7">
        <w:t> </w:t>
      </w:r>
    </w:p>
    <w:p w:rsidR="0009535F" w:rsidRP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 w:rsidRPr="0009535F">
        <w:rPr>
          <w:rFonts w:ascii="Times New Roman" w:hAnsi="Times New Roman" w:cs="Times New Roman"/>
          <w:sz w:val="24"/>
          <w:szCs w:val="24"/>
        </w:rPr>
        <w:t>350,000-200,000 BP</w:t>
      </w:r>
    </w:p>
    <w:p w:rsid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 w:rsidRPr="0009535F">
        <w:rPr>
          <w:rFonts w:ascii="Times New Roman" w:hAnsi="Times New Roman" w:cs="Times New Roman"/>
          <w:sz w:val="24"/>
          <w:szCs w:val="24"/>
        </w:rPr>
        <w:t>near Swanscombe</w:t>
      </w:r>
      <w:r w:rsidR="006E65F7">
        <w:rPr>
          <w:rFonts w:ascii="Times New Roman" w:hAnsi="Times New Roman" w:cs="Times New Roman"/>
          <w:sz w:val="24"/>
          <w:szCs w:val="24"/>
        </w:rPr>
        <w:t xml:space="preserve">, </w:t>
      </w:r>
      <w:r w:rsidR="006E65F7" w:rsidRPr="0009535F">
        <w:rPr>
          <w:rFonts w:ascii="Times New Roman" w:hAnsi="Times New Roman" w:cs="Times New Roman"/>
          <w:sz w:val="24"/>
          <w:szCs w:val="24"/>
        </w:rPr>
        <w:t>Kent</w:t>
      </w:r>
      <w:r w:rsidR="00B32570">
        <w:rPr>
          <w:rFonts w:ascii="Times New Roman" w:hAnsi="Times New Roman" w:cs="Times New Roman"/>
          <w:sz w:val="24"/>
          <w:szCs w:val="24"/>
        </w:rPr>
        <w:t>, on the right bank of the Thames River.</w:t>
      </w:r>
    </w:p>
    <w:p w:rsidR="00830895" w:rsidRDefault="00AC039F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039F">
        <w:rPr>
          <w:rFonts w:ascii="Times New Roman" w:hAnsi="Times New Roman" w:cs="Times New Roman"/>
          <w:b/>
          <w:sz w:val="24"/>
          <w:szCs w:val="24"/>
        </w:rPr>
        <w:t>Map: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895" w:rsidRPr="00830895">
        <w:rPr>
          <w:rFonts w:ascii="Times New Roman" w:hAnsi="Times New Roman" w:cs="Times New Roman"/>
          <w:sz w:val="24"/>
          <w:szCs w:val="24"/>
        </w:rPr>
        <w:t>From Roe 1981: 95.</w:t>
      </w:r>
    </w:p>
    <w:p w:rsidR="00830895" w:rsidRDefault="00830895" w:rsidP="008308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1EE167" wp14:editId="24BA1B04">
            <wp:extent cx="3589119" cy="2460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839" cy="24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70" w:rsidRDefault="00B32570" w:rsidP="008308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Figure</w:t>
      </w:r>
      <w:r w:rsidR="002A59D3">
        <w:rPr>
          <w:rFonts w:ascii="Times New Roman" w:hAnsi="Times New Roman" w:cs="Times New Roman"/>
          <w:b/>
          <w:sz w:val="24"/>
          <w:szCs w:val="24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</w:rPr>
        <w:t xml:space="preserve"> Swanscombe, Kent (bold), and other Early Acheulian sites (diamonds); </w:t>
      </w:r>
    </w:p>
    <w:p w:rsidR="00B32570" w:rsidRPr="00B32570" w:rsidRDefault="00B32570" w:rsidP="00830895">
      <w:pPr>
        <w:spacing w:after="0"/>
        <w:jc w:val="center"/>
        <w:rPr>
          <w:rFonts w:ascii="Wingdings" w:hAnsi="Wingdings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also Late Acheulian sites (triangles).</w:t>
      </w:r>
    </w:p>
    <w:bookmarkEnd w:id="0"/>
    <w:p w:rsidR="00830895" w:rsidRDefault="00830895" w:rsidP="008308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0895" w:rsidRDefault="00830895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039F" w:rsidRPr="00AC039F" w:rsidRDefault="00830895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6784A">
        <w:rPr>
          <w:rFonts w:ascii="Times New Roman" w:hAnsi="Times New Roman" w:cs="Times New Roman"/>
          <w:b/>
          <w:sz w:val="24"/>
          <w:szCs w:val="24"/>
        </w:rPr>
        <w:t>Map: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39F">
        <w:rPr>
          <w:rFonts w:ascii="Times New Roman" w:hAnsi="Times New Roman" w:cs="Times New Roman"/>
          <w:sz w:val="24"/>
          <w:szCs w:val="24"/>
        </w:rPr>
        <w:t>f</w:t>
      </w:r>
      <w:r w:rsidR="00AC039F" w:rsidRPr="00AC039F">
        <w:rPr>
          <w:rFonts w:ascii="Times New Roman" w:hAnsi="Times New Roman" w:cs="Times New Roman"/>
          <w:sz w:val="24"/>
          <w:szCs w:val="24"/>
        </w:rPr>
        <w:t>rom Keith 1916</w:t>
      </w:r>
    </w:p>
    <w:p w:rsidR="00AC039F" w:rsidRPr="00AC039F" w:rsidRDefault="001301AB" w:rsidP="00F90431">
      <w:pPr>
        <w:spacing w:after="0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301AB">
        <w:rPr>
          <w:rStyle w:val="Strong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>
            <wp:extent cx="3862221" cy="2979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62" cy="30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F" w:rsidRPr="0009535F" w:rsidRDefault="0009535F" w:rsidP="006E6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>
        <w:rPr>
          <w:rFonts w:ascii="Times New Roman" w:hAnsi="Times New Roman" w:cs="Times New Roman"/>
          <w:sz w:val="24"/>
          <w:szCs w:val="24"/>
        </w:rPr>
        <w:t>Acheulian</w:t>
      </w:r>
      <w:r w:rsidR="006E65F7">
        <w:rPr>
          <w:rFonts w:ascii="Times New Roman" w:hAnsi="Times New Roman" w:cs="Times New Roman"/>
          <w:sz w:val="24"/>
          <w:szCs w:val="24"/>
        </w:rPr>
        <w:t xml:space="preserve">, Homo </w:t>
      </w:r>
      <w:proofErr w:type="spellStart"/>
      <w:r w:rsidR="006E65F7">
        <w:rPr>
          <w:rFonts w:ascii="Times New Roman" w:hAnsi="Times New Roman" w:cs="Times New Roman"/>
          <w:sz w:val="24"/>
          <w:szCs w:val="24"/>
        </w:rPr>
        <w:t>Heidelbergensis</w:t>
      </w:r>
      <w:proofErr w:type="spellEnd"/>
      <w:r w:rsidR="00830895">
        <w:rPr>
          <w:rFonts w:ascii="Times New Roman" w:hAnsi="Times New Roman" w:cs="Times New Roman"/>
          <w:sz w:val="24"/>
          <w:szCs w:val="24"/>
        </w:rPr>
        <w:t>.</w:t>
      </w:r>
    </w:p>
    <w:p w:rsidR="0009535F" w:rsidRP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>
        <w:rPr>
          <w:rFonts w:ascii="Times New Roman" w:hAnsi="Times New Roman" w:cs="Times New Roman"/>
          <w:sz w:val="24"/>
          <w:szCs w:val="24"/>
        </w:rPr>
        <w:t>Flint</w:t>
      </w:r>
      <w:r w:rsidR="00830895">
        <w:rPr>
          <w:rFonts w:ascii="Times New Roman" w:hAnsi="Times New Roman" w:cs="Times New Roman"/>
          <w:sz w:val="24"/>
          <w:szCs w:val="24"/>
        </w:rPr>
        <w:t>.</w:t>
      </w:r>
    </w:p>
    <w:p w:rsidR="0009535F" w:rsidRPr="0009535F" w:rsidRDefault="0009535F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="003A5CC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A5CCE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>H 18 cm; W</w:t>
      </w:r>
      <w:r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A5CCE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>11 cm.</w:t>
      </w:r>
      <w:r w:rsidRPr="0009535F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09535F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09535F" w:rsidRP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="006E65F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6E65F7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>Old English Collection from 1920’s</w:t>
      </w:r>
      <w:r w:rsidR="001301AB">
        <w:rPr>
          <w:rStyle w:val="Strong"/>
          <w:rFonts w:ascii="Times New Roman" w:hAnsi="Times New Roman" w:cs="Times New Roman"/>
          <w:b w:val="0"/>
          <w:sz w:val="24"/>
          <w:szCs w:val="24"/>
        </w:rPr>
        <w:t>, found in an open pit quarry</w:t>
      </w:r>
      <w:r w:rsidR="00830895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6E65F7" w:rsidRPr="0009535F" w:rsidRDefault="0009535F" w:rsidP="006E65F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35F">
        <w:rPr>
          <w:rFonts w:ascii="Times New Roman" w:hAnsi="Times New Roman" w:cs="Times New Roman"/>
          <w:b/>
          <w:sz w:val="24"/>
          <w:szCs w:val="24"/>
        </w:rPr>
        <w:t>Condition:</w:t>
      </w:r>
      <w:r w:rsidR="006E6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3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Acheulian biface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in museum grade condition </w:t>
      </w:r>
      <w:r w:rsidR="00406D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showing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03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working detail and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ancient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patination.</w:t>
      </w:r>
    </w:p>
    <w:p w:rsidR="006E65F7" w:rsidRPr="0009535F" w:rsidRDefault="0009535F" w:rsidP="006E65F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35F">
        <w:rPr>
          <w:rFonts w:ascii="Times New Roman" w:hAnsi="Times New Roman" w:cs="Times New Roman"/>
          <w:b/>
          <w:sz w:val="24"/>
          <w:szCs w:val="24"/>
        </w:rPr>
        <w:t>Discussion:</w:t>
      </w:r>
      <w:r w:rsidR="006E6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giant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Acheulian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biface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 350,0000 - 200,000 years BP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00E0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ound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near Swanscombe, Kent,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 been </w:t>
      </w:r>
      <w:r w:rsidR="00AC03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flaked from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thick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elongated flint cobble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has been bifacially worked to form a robust distal point.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dorsal side retains a large cortical area at the proximal end</w:t>
      </w:r>
      <w:r w:rsidR="00E0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cortical area continues along the right lateral edge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around t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proximal end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naturally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rounded</w:t>
      </w:r>
      <w:r w:rsidR="00E0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being the surface of the flint cobble. The ventral side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 been finished with retouches to the distal end.</w:t>
      </w:r>
    </w:p>
    <w:p w:rsidR="0009535F" w:rsidRPr="0009535F" w:rsidRDefault="0009535F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535F" w:rsidRDefault="0009535F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535F">
        <w:rPr>
          <w:rFonts w:ascii="Times New Roman" w:hAnsi="Times New Roman" w:cs="Times New Roman"/>
          <w:b/>
          <w:sz w:val="24"/>
          <w:szCs w:val="24"/>
        </w:rPr>
        <w:t>References: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A5CCE" w:rsidRPr="003A5CCE" w:rsidTr="003A5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CCE" w:rsidRDefault="003A5CCE" w:rsidP="003A5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Conway,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Bernard, </w:t>
            </w:r>
            <w:r w:rsidRPr="003A5CCE">
              <w:rPr>
                <w:rFonts w:ascii="Times New Roman" w:eastAsia="Times New Roman" w:hAnsi="Times New Roman" w:cs="Times New Roman"/>
                <w:sz w:val="24"/>
                <w:szCs w:val="24"/>
              </w:rPr>
              <w:t>John McNabb and Nick Ashton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eds. 1996.</w:t>
            </w:r>
            <w:r w:rsidRPr="003A5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5C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Excavations at </w:t>
            </w:r>
            <w:proofErr w:type="spellStart"/>
            <w:r w:rsidRPr="003A5C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Barnfield</w:t>
            </w:r>
            <w:proofErr w:type="spellEnd"/>
            <w:r w:rsidRPr="003A5C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Pit,</w:t>
            </w:r>
            <w:r w:rsidRPr="003A5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5CC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Swanscombe, 1968-72</w:t>
            </w:r>
            <w:r w:rsidRPr="003A5CCE">
              <w:rPr>
                <w:rFonts w:ascii="Times New Roman" w:eastAsia="Times New Roman" w:hAnsi="Times New Roman" w:cs="Times New Roman"/>
                <w:sz w:val="24"/>
                <w:szCs w:val="24"/>
              </w:rPr>
              <w:t>; illustrations by Phil Dean.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London</w:t>
            </w:r>
            <w:r w:rsidRPr="003A5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Dept. of Prehistoric and </w:t>
            </w:r>
            <w:r w:rsidR="00AC039F">
              <w:rPr>
                <w:rFonts w:ascii="Times New Roman" w:eastAsia="Times New Roman" w:hAnsi="Times New Roman" w:cs="Times New Roman"/>
                <w:sz w:val="24"/>
                <w:szCs w:val="24"/>
              </w:rPr>
              <w:t>Romano-British Antiquities.</w:t>
            </w:r>
          </w:p>
          <w:p w:rsidR="00DC0DAA" w:rsidRDefault="00DC0DAA" w:rsidP="003A5C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039F" w:rsidRDefault="00AC039F" w:rsidP="003A5C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1961">
              <w:rPr>
                <w:rFonts w:ascii="Times New Roman" w:hAnsi="Times New Roman" w:cs="Times New Roman"/>
                <w:sz w:val="24"/>
                <w:szCs w:val="24"/>
              </w:rPr>
              <w:t>Keith, Arthu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B1961">
              <w:rPr>
                <w:rFonts w:ascii="Times New Roman" w:hAnsi="Times New Roman" w:cs="Times New Roman"/>
                <w:sz w:val="24"/>
                <w:szCs w:val="24"/>
              </w:rPr>
              <w:t xml:space="preserve">. 1915. </w:t>
            </w:r>
            <w:r w:rsidRPr="00CB1961">
              <w:rPr>
                <w:rFonts w:ascii="Times New Roman" w:hAnsi="Times New Roman" w:cs="Times New Roman"/>
                <w:i/>
                <w:sz w:val="24"/>
                <w:szCs w:val="24"/>
              </w:rPr>
              <w:t>The Antiquity of Man</w:t>
            </w:r>
            <w:r w:rsidRPr="00CB1961">
              <w:rPr>
                <w:rFonts w:ascii="Times New Roman" w:hAnsi="Times New Roman" w:cs="Times New Roman"/>
                <w:sz w:val="24"/>
                <w:szCs w:val="24"/>
              </w:rPr>
              <w:t>. London.</w:t>
            </w:r>
          </w:p>
          <w:p w:rsidR="00DC0DAA" w:rsidRDefault="00DC0DAA" w:rsidP="00DC0DAA">
            <w:pPr>
              <w:spacing w:after="0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</w:pPr>
          </w:p>
          <w:p w:rsidR="00DC0DAA" w:rsidRPr="00B35B09" w:rsidRDefault="00DC0DAA" w:rsidP="00DC0D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Roe, Derek. 1981.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 xml:space="preserve"> </w:t>
            </w:r>
            <w:r w:rsidRPr="00B35B0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</w:rPr>
              <w:t>The lower and middle Paleolithic periods in Britain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 xml:space="preserve">. Series: Archaeology of Britain, Barry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Cunliffe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</w:rPr>
              <w:t>, ed. London, Boston and Henley: Routledge and Keegan Paul.</w:t>
            </w:r>
          </w:p>
          <w:p w:rsidR="00DC0DAA" w:rsidRPr="003A5CCE" w:rsidRDefault="00DC0DAA" w:rsidP="003A5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5CCE" w:rsidRPr="003A5CCE" w:rsidTr="003A5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CCE" w:rsidRPr="003A5CCE" w:rsidRDefault="003A5CCE" w:rsidP="003A5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5CCE" w:rsidRPr="0009535F" w:rsidRDefault="003A5CCE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535F" w:rsidRDefault="0009535F" w:rsidP="0009535F"/>
    <w:p w:rsidR="0009535F" w:rsidRPr="0009535F" w:rsidRDefault="0009535F" w:rsidP="000953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535F" w:rsidRPr="0009535F" w:rsidRDefault="0009535F" w:rsidP="000953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535F" w:rsidRPr="0009535F" w:rsidRDefault="0009535F" w:rsidP="0009535F">
      <w:pPr>
        <w:rPr>
          <w:color w:val="000000" w:themeColor="text1"/>
          <w:sz w:val="24"/>
          <w:szCs w:val="24"/>
        </w:rPr>
      </w:pPr>
    </w:p>
    <w:sectPr w:rsidR="0009535F" w:rsidRPr="0009535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5F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9535F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1AB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A59D3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5CCE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400160"/>
    <w:rsid w:val="0040056B"/>
    <w:rsid w:val="0040468B"/>
    <w:rsid w:val="00405119"/>
    <w:rsid w:val="00406402"/>
    <w:rsid w:val="00406D12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84A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E65F7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A7F88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895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7830"/>
    <w:rsid w:val="008D0597"/>
    <w:rsid w:val="008D0ECB"/>
    <w:rsid w:val="008D17C6"/>
    <w:rsid w:val="008D2A1B"/>
    <w:rsid w:val="008D3B6D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0C2F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039F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570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306E"/>
    <w:rsid w:val="00B95A8A"/>
    <w:rsid w:val="00BA3532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04DEC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0DAA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2A2D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37E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0431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FF6"/>
  <w15:chartTrackingRefBased/>
  <w15:docId w15:val="{CB9D4C95-98B5-49D4-838F-61C895EC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0953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437B0-0776-4025-82F7-975B5513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6</cp:revision>
  <cp:lastPrinted>2017-02-21T19:45:00Z</cp:lastPrinted>
  <dcterms:created xsi:type="dcterms:W3CDTF">2017-02-21T16:23:00Z</dcterms:created>
  <dcterms:modified xsi:type="dcterms:W3CDTF">2017-02-21T19:46:00Z</dcterms:modified>
</cp:coreProperties>
</file>