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C6" w:rsidRPr="00A300AA" w:rsidRDefault="0081783C" w:rsidP="00BB6CC6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Dis-ME-Israel-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Ram, Israel, Late Acheulian Female Figurine</w:t>
      </w:r>
    </w:p>
    <w:bookmarkEnd w:id="0"/>
    <w:p w:rsidR="008032FA" w:rsidRPr="00A300AA" w:rsidRDefault="008032FA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12240" cy="2118360"/>
            <wp:effectExtent l="0" t="0" r="0" b="0"/>
            <wp:docPr id="1" name="Picture 1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06739" cy="2103120"/>
            <wp:effectExtent l="0" t="0" r="8255" b="0"/>
            <wp:docPr id="2" name="Picture 2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01" cy="21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70796" cy="2063750"/>
            <wp:effectExtent l="0" t="0" r="1270" b="0"/>
            <wp:docPr id="3" name="Picture 3" descr="http://i.ebayimg.com/images/g/ChUAAOSwPcVVgfD9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ChUAAOSwPcVVgfD9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94" cy="20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DF727F" wp14:editId="70E517A1">
            <wp:extent cx="1132273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746" cy="20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C6" w:rsidRPr="00A300AA" w:rsidRDefault="0081783C" w:rsidP="00D33B6A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A300A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Israel, 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Ram, Israel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Late Acheulian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Female Figurine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Accession Number: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LC Classification: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Date or Time Horizon: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232,000-800-000 BP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Geographical Area: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Israel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</w:p>
    <w:p w:rsidR="0081783C" w:rsidRPr="00A300AA" w:rsidRDefault="0081783C" w:rsidP="00BB6C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Cultural Affiliation: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Medium: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basaltic tuff and scoria pebble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Dimensions: 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4.75 in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(12 cm)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Weight: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Provenance: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Hebrew University of Jerusalem's Institute of Archeology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Condition: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Museum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Replica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-G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anges Clay and resin materials-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replica is based on drawings and photographs from the Hebrew University of Jerusalem's Institute of Arch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eology, where the original is housed.</w:t>
      </w:r>
    </w:p>
    <w:p w:rsidR="0081783C" w:rsidRPr="00A300AA" w:rsidRDefault="0081783C" w:rsidP="00BB6CC6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A300AA">
        <w:rPr>
          <w:color w:val="000000" w:themeColor="text1"/>
        </w:rPr>
        <w:t>Discussion:</w:t>
      </w:r>
      <w:r w:rsidRPr="00A300AA">
        <w:rPr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>T</w:t>
      </w:r>
      <w:r w:rsidRPr="00A300AA">
        <w:rPr>
          <w:bCs/>
          <w:color w:val="000000" w:themeColor="text1"/>
        </w:rPr>
        <w:t xml:space="preserve">he famous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Pr="00A300AA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 xml:space="preserve">Venus figurine </w:t>
      </w:r>
      <w:r w:rsidRPr="00A300AA">
        <w:rPr>
          <w:bCs/>
          <w:color w:val="000000" w:themeColor="text1"/>
        </w:rPr>
        <w:t xml:space="preserve">carved </w:t>
      </w:r>
      <w:r w:rsidR="00C864B1" w:rsidRPr="00A300AA">
        <w:rPr>
          <w:bCs/>
          <w:color w:val="000000" w:themeColor="text1"/>
        </w:rPr>
        <w:t xml:space="preserve">from </w:t>
      </w:r>
      <w:r w:rsidRPr="00A300AA">
        <w:rPr>
          <w:bCs/>
          <w:color w:val="000000" w:themeColor="text1"/>
        </w:rPr>
        <w:t xml:space="preserve">bone 30,000 </w:t>
      </w:r>
      <w:r w:rsidR="00C864B1" w:rsidRPr="00A300AA">
        <w:rPr>
          <w:bCs/>
          <w:color w:val="000000" w:themeColor="text1"/>
        </w:rPr>
        <w:t>BP</w:t>
      </w:r>
      <w:r w:rsidRPr="00A300AA">
        <w:rPr>
          <w:bCs/>
          <w:color w:val="000000" w:themeColor="text1"/>
        </w:rPr>
        <w:t xml:space="preserve">, was </w:t>
      </w:r>
      <w:r w:rsidR="00C864B1" w:rsidRPr="00A300AA">
        <w:rPr>
          <w:bCs/>
          <w:color w:val="000000" w:themeColor="text1"/>
        </w:rPr>
        <w:t>thought</w:t>
      </w:r>
      <w:r w:rsidRPr="00A300AA">
        <w:rPr>
          <w:bCs/>
          <w:color w:val="000000" w:themeColor="text1"/>
        </w:rPr>
        <w:t xml:space="preserve"> to be </w:t>
      </w:r>
      <w:r w:rsidR="00C864B1" w:rsidRPr="00A300AA">
        <w:rPr>
          <w:bCs/>
          <w:color w:val="000000" w:themeColor="text1"/>
        </w:rPr>
        <w:t xml:space="preserve">one of the </w:t>
      </w:r>
      <w:r w:rsidRPr="00A300AA">
        <w:rPr>
          <w:bCs/>
          <w:color w:val="000000" w:themeColor="text1"/>
        </w:rPr>
        <w:t xml:space="preserve">earliest </w:t>
      </w:r>
      <w:r w:rsidR="00C864B1" w:rsidRPr="00A300AA">
        <w:rPr>
          <w:bCs/>
          <w:color w:val="000000" w:themeColor="text1"/>
        </w:rPr>
        <w:t>anthropomorphic figurines in existence</w:t>
      </w:r>
      <w:r w:rsidRPr="00A300AA">
        <w:rPr>
          <w:bCs/>
          <w:color w:val="000000" w:themeColor="text1"/>
        </w:rPr>
        <w:t>. Th</w:t>
      </w:r>
      <w:r w:rsidR="00C864B1" w:rsidRPr="00A300AA">
        <w:rPr>
          <w:bCs/>
          <w:color w:val="000000" w:themeColor="text1"/>
        </w:rPr>
        <w:t>is</w:t>
      </w:r>
      <w:r w:rsidRPr="00A300AA">
        <w:rPr>
          <w:bCs/>
          <w:color w:val="000000" w:themeColor="text1"/>
        </w:rPr>
        <w:t xml:space="preserve">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 xml:space="preserve">Acheulian </w:t>
      </w:r>
      <w:r w:rsidR="00BB6CC6" w:rsidRPr="00A300AA">
        <w:rPr>
          <w:bCs/>
          <w:color w:val="000000" w:themeColor="text1"/>
        </w:rPr>
        <w:t>figurine</w:t>
      </w:r>
      <w:r w:rsidRPr="00A300AA">
        <w:rPr>
          <w:bCs/>
          <w:color w:val="000000" w:themeColor="text1"/>
        </w:rPr>
        <w:t xml:space="preserve"> </w:t>
      </w:r>
      <w:r w:rsidR="00BB6CC6" w:rsidRPr="00A300AA">
        <w:rPr>
          <w:bCs/>
          <w:color w:val="000000" w:themeColor="text1"/>
        </w:rPr>
        <w:t xml:space="preserve">which bears microscopic traces of human modification </w:t>
      </w:r>
      <w:r w:rsidRPr="00A300AA">
        <w:rPr>
          <w:bCs/>
          <w:color w:val="000000" w:themeColor="text1"/>
        </w:rPr>
        <w:t xml:space="preserve">predates </w:t>
      </w:r>
      <w:r w:rsidR="00C864B1" w:rsidRPr="00A300AA">
        <w:rPr>
          <w:bCs/>
          <w:color w:val="000000" w:themeColor="text1"/>
        </w:rPr>
        <w:t xml:space="preserve">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Pr="00A300AA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 xml:space="preserve">figurine </w:t>
      </w:r>
      <w:r w:rsidRPr="00A300AA">
        <w:rPr>
          <w:bCs/>
          <w:color w:val="000000" w:themeColor="text1"/>
        </w:rPr>
        <w:t xml:space="preserve">by </w:t>
      </w:r>
      <w:r w:rsidR="00C864B1" w:rsidRPr="00A300AA">
        <w:rPr>
          <w:bCs/>
          <w:color w:val="000000" w:themeColor="text1"/>
        </w:rPr>
        <w:t>200,000 years and possibly up to 770,000 years. T</w:t>
      </w:r>
      <w:r w:rsidRPr="00A300AA">
        <w:rPr>
          <w:bCs/>
          <w:color w:val="000000" w:themeColor="text1"/>
        </w:rPr>
        <w:t xml:space="preserve">he similarities between 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Pr="00A300AA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 xml:space="preserve">figurine </w:t>
      </w:r>
      <w:r w:rsidRPr="00A300AA">
        <w:rPr>
          <w:bCs/>
          <w:color w:val="000000" w:themeColor="text1"/>
        </w:rPr>
        <w:t xml:space="preserve">and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C864B1" w:rsidRPr="00A300AA">
        <w:rPr>
          <w:bCs/>
          <w:color w:val="000000" w:themeColor="text1"/>
        </w:rPr>
        <w:t xml:space="preserve"> figurine are remarkable.</w:t>
      </w:r>
      <w:r w:rsidRPr="00A300AA">
        <w:rPr>
          <w:bCs/>
          <w:color w:val="000000" w:themeColor="text1"/>
        </w:rPr>
        <w:t xml:space="preserve"> Both are distinctly female, great-breasted with featureless head</w:t>
      </w:r>
      <w:r w:rsidR="00C864B1" w:rsidRPr="00A300AA">
        <w:rPr>
          <w:bCs/>
          <w:color w:val="000000" w:themeColor="text1"/>
        </w:rPr>
        <w:t>s</w:t>
      </w:r>
      <w:r w:rsidRPr="00A300AA">
        <w:rPr>
          <w:bCs/>
          <w:color w:val="000000" w:themeColor="text1"/>
        </w:rPr>
        <w:t xml:space="preserve"> and </w:t>
      </w:r>
      <w:r w:rsidR="00C864B1" w:rsidRPr="00A300AA">
        <w:rPr>
          <w:bCs/>
          <w:color w:val="000000" w:themeColor="text1"/>
        </w:rPr>
        <w:t>distinct</w:t>
      </w:r>
      <w:r w:rsidRPr="00A300AA">
        <w:rPr>
          <w:bCs/>
          <w:color w:val="000000" w:themeColor="text1"/>
        </w:rPr>
        <w:t xml:space="preserve"> limbs</w:t>
      </w:r>
      <w:r w:rsidR="00D33B6A" w:rsidRPr="00A300AA">
        <w:rPr>
          <w:bCs/>
          <w:color w:val="000000" w:themeColor="text1"/>
        </w:rPr>
        <w:t>. Th</w:t>
      </w:r>
      <w:r w:rsidRPr="00A300AA">
        <w:rPr>
          <w:bCs/>
          <w:color w:val="000000" w:themeColor="text1"/>
        </w:rPr>
        <w:t xml:space="preserve">e </w:t>
      </w:r>
      <w:r w:rsidR="00D33B6A" w:rsidRPr="00A300AA">
        <w:rPr>
          <w:bCs/>
          <w:color w:val="000000" w:themeColor="text1"/>
        </w:rPr>
        <w:t>carver</w:t>
      </w:r>
      <w:r w:rsidRPr="00A300AA">
        <w:rPr>
          <w:bCs/>
          <w:color w:val="000000" w:themeColor="text1"/>
        </w:rPr>
        <w:t xml:space="preserve"> of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 xml:space="preserve">Acheulian </w:t>
      </w:r>
      <w:r w:rsidR="00D33B6A" w:rsidRPr="00A300AA">
        <w:rPr>
          <w:bCs/>
          <w:color w:val="000000" w:themeColor="text1"/>
        </w:rPr>
        <w:t>figurine</w:t>
      </w:r>
      <w:r w:rsidRPr="00A300AA">
        <w:rPr>
          <w:bCs/>
          <w:color w:val="000000" w:themeColor="text1"/>
        </w:rPr>
        <w:t xml:space="preserve"> adapted </w:t>
      </w:r>
      <w:r w:rsidR="00D33B6A" w:rsidRPr="00A300AA">
        <w:rPr>
          <w:bCs/>
          <w:color w:val="000000" w:themeColor="text1"/>
        </w:rPr>
        <w:t xml:space="preserve">a cobble that </w:t>
      </w:r>
      <w:r w:rsidRPr="00A300AA">
        <w:rPr>
          <w:bCs/>
          <w:color w:val="000000" w:themeColor="text1"/>
        </w:rPr>
        <w:t xml:space="preserve">already had </w:t>
      </w:r>
      <w:r w:rsidR="00D33B6A" w:rsidRPr="00A300AA">
        <w:rPr>
          <w:bCs/>
          <w:color w:val="000000" w:themeColor="text1"/>
        </w:rPr>
        <w:t>Venus-like</w:t>
      </w:r>
      <w:r w:rsidRPr="00A300AA">
        <w:rPr>
          <w:bCs/>
          <w:color w:val="000000" w:themeColor="text1"/>
        </w:rPr>
        <w:t xml:space="preserve"> features</w:t>
      </w:r>
      <w:r w:rsidR="00D33B6A" w:rsidRPr="00A300AA">
        <w:rPr>
          <w:bCs/>
          <w:color w:val="000000" w:themeColor="text1"/>
        </w:rPr>
        <w:t xml:space="preserve"> to which the sculptor added</w:t>
      </w:r>
      <w:r w:rsidRPr="00A300AA">
        <w:rPr>
          <w:bCs/>
          <w:color w:val="000000" w:themeColor="text1"/>
        </w:rPr>
        <w:t xml:space="preserve"> grooves delineating the head and arms.</w:t>
      </w:r>
      <w:r w:rsidR="00D33B6A" w:rsidRPr="00A300AA">
        <w:rPr>
          <w:bCs/>
          <w:color w:val="000000" w:themeColor="text1"/>
        </w:rPr>
        <w:t xml:space="preserve"> </w:t>
      </w:r>
      <w:r w:rsidRPr="00A300AA">
        <w:rPr>
          <w:bCs/>
          <w:color w:val="000000" w:themeColor="text1"/>
        </w:rPr>
        <w:t xml:space="preserve">Like </w:t>
      </w:r>
      <w:r w:rsidR="00BB6CC6" w:rsidRPr="00A300AA">
        <w:rPr>
          <w:bCs/>
          <w:color w:val="000000" w:themeColor="text1"/>
        </w:rPr>
        <w:t xml:space="preserve">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,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 appears to have a </w:t>
      </w:r>
      <w:r w:rsidR="00BB6CC6" w:rsidRPr="00A300AA">
        <w:rPr>
          <w:bCs/>
          <w:color w:val="000000" w:themeColor="text1"/>
        </w:rPr>
        <w:t xml:space="preserve">vulva </w:t>
      </w:r>
      <w:r w:rsidRPr="00A300AA">
        <w:rPr>
          <w:bCs/>
          <w:color w:val="000000" w:themeColor="text1"/>
        </w:rPr>
        <w:t xml:space="preserve">groove. </w:t>
      </w:r>
    </w:p>
    <w:p w:rsidR="00BB6CC6" w:rsidRPr="00A300AA" w:rsidRDefault="00BB6CC6" w:rsidP="00BB6CC6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References:</w:t>
      </w:r>
    </w:p>
    <w:p w:rsidR="00BD7820" w:rsidRPr="00A300AA" w:rsidRDefault="00BD7820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Bednarik, R.G., 2006. Lecture No. 3. The evidence of </w:t>
      </w:r>
      <w:proofErr w:type="spellStart"/>
      <w:r w:rsidRPr="00BD7820">
        <w:rPr>
          <w:rFonts w:ascii="Times New Roman" w:eastAsia="Times New Roman" w:hAnsi="Times New Roman" w:cs="Times New Roman"/>
          <w:sz w:val="24"/>
          <w:szCs w:val="24"/>
        </w:rPr>
        <w:t>paleoart</w:t>
      </w:r>
      <w:proofErr w:type="spellEnd"/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7820">
        <w:rPr>
          <w:rFonts w:ascii="Times New Roman" w:eastAsia="Times New Roman" w:hAnsi="Times New Roman" w:cs="Times New Roman"/>
          <w:i/>
          <w:iCs/>
          <w:sz w:val="24"/>
          <w:szCs w:val="24"/>
        </w:rPr>
        <w:t>Semiotics Institute Online: Cognition and symbolism in human evolution</w:t>
      </w:r>
      <w:r w:rsidRPr="00BD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0AA">
        <w:rPr>
          <w:rFonts w:ascii="Times New Roman" w:hAnsi="Times New Roman" w:cs="Times New Roman"/>
          <w:sz w:val="24"/>
          <w:szCs w:val="24"/>
        </w:rPr>
        <w:t>d'Errico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F. and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Nowell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>, A.</w:t>
      </w:r>
      <w:r w:rsidRPr="00A300AA">
        <w:rPr>
          <w:rFonts w:ascii="Times New Roman" w:hAnsi="Times New Roman" w:cs="Times New Roman"/>
          <w:sz w:val="24"/>
          <w:szCs w:val="24"/>
        </w:rPr>
        <w:t xml:space="preserve"> 2000. A new look at the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 figurine: implications for the origins of symbolism.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Cambridge Archaeological Journal</w:t>
      </w:r>
      <w:r w:rsidRPr="00A300AA">
        <w:rPr>
          <w:rFonts w:ascii="Times New Roman" w:hAnsi="Times New Roman" w:cs="Times New Roman"/>
          <w:sz w:val="24"/>
          <w:szCs w:val="24"/>
        </w:rPr>
        <w:t xml:space="preserve">,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A300AA">
        <w:rPr>
          <w:rFonts w:ascii="Times New Roman" w:hAnsi="Times New Roman" w:cs="Times New Roman"/>
          <w:sz w:val="24"/>
          <w:szCs w:val="24"/>
        </w:rPr>
        <w:t xml:space="preserve">(01): </w:t>
      </w:r>
      <w:r w:rsidRPr="00A300AA">
        <w:rPr>
          <w:rFonts w:ascii="Times New Roman" w:hAnsi="Times New Roman" w:cs="Times New Roman"/>
          <w:sz w:val="24"/>
          <w:szCs w:val="24"/>
        </w:rPr>
        <w:t>123-167.</w:t>
      </w:r>
    </w:p>
    <w:p w:rsidR="00A300AA" w:rsidRPr="00A300AA" w:rsidRDefault="00A300AA" w:rsidP="00BD7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0AA">
        <w:rPr>
          <w:rFonts w:ascii="Times New Roman" w:hAnsi="Times New Roman" w:cs="Times New Roman"/>
          <w:sz w:val="24"/>
          <w:szCs w:val="24"/>
        </w:rPr>
        <w:t>Goren-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Inbar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>, N.</w:t>
      </w:r>
      <w:r w:rsidRPr="00A300AA">
        <w:rPr>
          <w:rFonts w:ascii="Times New Roman" w:hAnsi="Times New Roman" w:cs="Times New Roman"/>
          <w:sz w:val="24"/>
          <w:szCs w:val="24"/>
        </w:rPr>
        <w:t xml:space="preserve"> 1986. A figurine from the Acheulian site of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Ram.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Mitekufat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Haeven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>: Journal of the Israel Prehistoric Society/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מתקופת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האבן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</w:t>
      </w:r>
      <w:r w:rsidRPr="00A300AA">
        <w:rPr>
          <w:rFonts w:ascii="Times New Roman" w:hAnsi="Times New Roman" w:cs="Times New Roman"/>
          <w:sz w:val="24"/>
          <w:szCs w:val="24"/>
        </w:rPr>
        <w:t>7-12.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0AA" w:rsidRPr="00A300AA" w:rsidRDefault="00D33B6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A300AA">
        <w:rPr>
          <w:bCs/>
          <w:color w:val="000000" w:themeColor="text1"/>
        </w:rPr>
        <w:t>Hebrew University of Jerusalem's Institute of Archaeology</w:t>
      </w:r>
      <w:r w:rsidRPr="00A300AA">
        <w:rPr>
          <w:bCs/>
          <w:color w:val="000000" w:themeColor="text1"/>
        </w:rPr>
        <w:t>.</w:t>
      </w:r>
      <w:r w:rsidR="0081783C" w:rsidRPr="00A300AA">
        <w:rPr>
          <w:bCs/>
          <w:color w:val="000000" w:themeColor="text1"/>
        </w:rPr>
        <w:br/>
        <w:t> </w:t>
      </w:r>
    </w:p>
    <w:p w:rsidR="0081783C" w:rsidRPr="00BB6CC6" w:rsidRDefault="00A300A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proofErr w:type="spellStart"/>
      <w:r w:rsidRPr="00A300AA">
        <w:t>Marshack</w:t>
      </w:r>
      <w:proofErr w:type="spellEnd"/>
      <w:r w:rsidRPr="00A300AA">
        <w:t>, A.</w:t>
      </w:r>
      <w:r w:rsidRPr="00A300AA">
        <w:t xml:space="preserve"> 1997. The </w:t>
      </w:r>
      <w:proofErr w:type="spellStart"/>
      <w:r w:rsidRPr="00A300AA">
        <w:t>Berekhat</w:t>
      </w:r>
      <w:proofErr w:type="spellEnd"/>
      <w:r w:rsidRPr="00A300AA">
        <w:t xml:space="preserve"> Ram figurine: a late Acheulian carving from the Middle East. </w:t>
      </w:r>
      <w:r w:rsidRPr="00A300AA">
        <w:rPr>
          <w:i/>
          <w:iCs/>
        </w:rPr>
        <w:t>Antiquity</w:t>
      </w:r>
      <w:r w:rsidRPr="00A300AA">
        <w:t xml:space="preserve">, </w:t>
      </w:r>
      <w:r w:rsidRPr="00A300AA">
        <w:rPr>
          <w:i/>
          <w:iCs/>
        </w:rPr>
        <w:t>71</w:t>
      </w:r>
      <w:r w:rsidRPr="00A300AA">
        <w:t xml:space="preserve">(272): </w:t>
      </w:r>
      <w:r w:rsidRPr="00A300AA">
        <w:t>327-337.</w:t>
      </w:r>
      <w:r w:rsidR="0081783C" w:rsidRPr="00BB6CC6">
        <w:rPr>
          <w:bCs/>
          <w:color w:val="000000" w:themeColor="text1"/>
        </w:rPr>
        <w:br/>
      </w:r>
    </w:p>
    <w:p w:rsidR="0081783C" w:rsidRPr="00BB6CC6" w:rsidRDefault="0081783C" w:rsidP="008178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783C" w:rsidRPr="00BB6C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3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1D7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32FA"/>
    <w:rsid w:val="008047BB"/>
    <w:rsid w:val="00806D96"/>
    <w:rsid w:val="008073F3"/>
    <w:rsid w:val="0081005B"/>
    <w:rsid w:val="008102F6"/>
    <w:rsid w:val="008121EF"/>
    <w:rsid w:val="00813DAE"/>
    <w:rsid w:val="00814E42"/>
    <w:rsid w:val="0081783C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0AA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CC6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20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4B1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B6A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F6E5"/>
  <w15:chartTrackingRefBased/>
  <w15:docId w15:val="{3C3DA15C-E5E1-41F1-BEEE-82F3464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1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17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2017-02-19T21:01:00Z</dcterms:created>
  <dcterms:modified xsi:type="dcterms:W3CDTF">2017-02-19T21:01:00Z</dcterms:modified>
</cp:coreProperties>
</file>