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embeddings/oleObject1.bin" ContentType="application/vnd.openxmlformats-officedocument.oleObject"/>
  <Override PartName="/word/_rels/document.xml.rels" ContentType="application/vnd.openxmlformats-package.relationships+xml"/>
  <Override PartName="/word/settings.xml" ContentType="application/vnd.openxmlformats-officedocument.wordprocessingml.settings+xml"/>
  <Override PartName="/word/media/image6.jpeg" ContentType="image/jpeg"/>
  <Override PartName="/word/media/image3.png" ContentType="image/png"/>
  <Override PartName="/word/media/image4.wmf" ContentType="image/x-wmf"/>
  <Override PartName="/word/media/image5.png" ContentType="image/pn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Case 13-US-MA-Revere Beach-Pipe-Platform-</w:t>
      </w:r>
    </w:p>
    <w:p>
      <w:pPr>
        <w:pStyle w:val="Normal"/>
        <w:rPr/>
      </w:pPr>
      <w:r>
        <w:rPr/>
      </w:r>
    </w:p>
    <w:p>
      <w:pPr>
        <w:pStyle w:val="Normal"/>
        <w:rPr/>
      </w:pPr>
      <w:r>
        <w:rPr/>
        <w:drawing>
          <wp:inline distT="0" distB="0" distL="0" distR="0">
            <wp:extent cx="4598670" cy="303657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4" t="-6" r="-4" b="-6"/>
                    <a:stretch>
                      <a:fillRect/>
                    </a:stretch>
                  </pic:blipFill>
                  <pic:spPr bwMode="auto">
                    <a:xfrm>
                      <a:off x="0" y="0"/>
                      <a:ext cx="4598670" cy="3036570"/>
                    </a:xfrm>
                    <a:prstGeom prst="rect">
                      <a:avLst/>
                    </a:prstGeom>
                  </pic:spPr>
                </pic:pic>
              </a:graphicData>
            </a:graphic>
          </wp:inline>
        </w:drawing>
      </w:r>
    </w:p>
    <w:p>
      <w:pPr>
        <w:pStyle w:val="Normal"/>
        <w:rPr/>
      </w:pPr>
      <w:r>
        <w:rPr/>
        <w:drawing>
          <wp:inline distT="0" distB="0" distL="0" distR="0">
            <wp:extent cx="6341745" cy="438785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4" t="-6" r="-4" b="-6"/>
                    <a:stretch>
                      <a:fillRect/>
                    </a:stretch>
                  </pic:blipFill>
                  <pic:spPr bwMode="auto">
                    <a:xfrm>
                      <a:off x="0" y="0"/>
                      <a:ext cx="6341745" cy="4387850"/>
                    </a:xfrm>
                    <a:prstGeom prst="rect">
                      <a:avLst/>
                    </a:prstGeom>
                  </pic:spPr>
                </pic:pic>
              </a:graphicData>
            </a:graphic>
          </wp:inline>
        </w:drawing>
      </w:r>
    </w:p>
    <w:p>
      <w:pPr>
        <w:pStyle w:val="Normal"/>
        <w:rPr>
          <w:rFonts w:ascii="Helvetica" w:hAnsi="Helvetica" w:cs="Helvetica"/>
          <w:color w:val="595959"/>
          <w:sz w:val="20"/>
          <w:szCs w:val="20"/>
          <w:highlight w:val="white"/>
        </w:rPr>
      </w:pPr>
      <w:r>
        <w:rPr>
          <w:rFonts w:cs="Helvetica" w:ascii="Helvetica" w:hAnsi="Helvetica"/>
          <w:color w:val="595959"/>
          <w:sz w:val="20"/>
          <w:szCs w:val="20"/>
          <w:shd w:fill="FFFFFF" w:val="clear"/>
        </w:rPr>
        <w:t>The circulation and accumulation of exotic materials in massive mortuary caches peaked during the Hopewell era (100 B.C. to A.D. 300). The premise that Hopewell smoking pipes were made in Ohio, primarily of local raw material, and circulated to foreign locations was an integral part of this interaction model. In this study we demonstrate, primarily using reflectance near-infrared spectroscopy (NIS), that early Hopewell Tremper Mound pipe raw-material acquisition focused on exotic pipestones from Illinois and Minnesota. By contrast, later Mound City cache pipes were almost exclusively made from local limestone and pipestone. The discovery of this shift in preference for and/or access to different quarry sources by Ohio Hopewell societies provides new perspectives on early Hopewell development and long-distance interaction.</w:t>
      </w:r>
    </w:p>
    <w:p>
      <w:pPr>
        <w:pStyle w:val="Normal"/>
        <w:rPr>
          <w:lang w:val="en-US" w:eastAsia="en-US"/>
        </w:rPr>
      </w:pPr>
      <w:r>
        <w:rPr>
          <w:lang w:val="en-US" w:eastAsia="en-US"/>
        </w:rPr>
        <w:drawing>
          <wp:inline distT="0" distB="0" distL="0" distR="0">
            <wp:extent cx="4267200" cy="1990725"/>
            <wp:effectExtent l="0" t="0" r="0" b="0"/>
            <wp:docPr id="3" name="Pictu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title=""/>
                    <pic:cNvPicPr>
                      <a:picLocks noChangeAspect="1" noChangeArrowheads="1"/>
                    </pic:cNvPicPr>
                  </pic:nvPicPr>
                  <pic:blipFill>
                    <a:blip r:embed="rId4"/>
                    <a:srcRect l="-11" t="-24" r="-11" b="-24"/>
                    <a:stretch>
                      <a:fillRect/>
                    </a:stretch>
                  </pic:blipFill>
                  <pic:spPr bwMode="auto">
                    <a:xfrm>
                      <a:off x="0" y="0"/>
                      <a:ext cx="4267200" cy="1990725"/>
                    </a:xfrm>
                    <a:prstGeom prst="rect">
                      <a:avLst/>
                    </a:prstGeom>
                  </pic:spPr>
                </pic:pic>
              </a:graphicData>
            </a:graphic>
          </wp:inline>
        </w:drawing>
      </w:r>
    </w:p>
    <w:p>
      <w:pPr>
        <w:pStyle w:val="Normal"/>
        <w:rPr>
          <w:rFonts w:ascii="Helvetica" w:hAnsi="Helvetica" w:cs="Helvetica"/>
          <w:color w:val="595959"/>
          <w:sz w:val="20"/>
          <w:szCs w:val="20"/>
          <w:highlight w:val="white"/>
        </w:rPr>
      </w:pPr>
      <w:r>
        <w:rPr/>
        <w:object>
          <v:shape id="ole_rId5" style="width:467.9pt;height:287.95pt" o:ole="">
            <v:imagedata r:id="rId6" o:title=""/>
          </v:shape>
          <o:OLEObject Type="Embed" ProgID="" ShapeID="ole_rId5" DrawAspect="Content" ObjectID="_1508600066" r:id="rId5"/>
        </w:object>
      </w:r>
    </w:p>
    <w:p>
      <w:pPr>
        <w:pStyle w:val="Normal"/>
        <w:rPr>
          <w:lang w:val="en-US" w:eastAsia="en-US"/>
        </w:rPr>
      </w:pPr>
      <w:r>
        <w:rPr>
          <w:lang w:val="en-US" w:eastAsia="en-US"/>
        </w:rPr>
        <w:drawing>
          <wp:inline distT="0" distB="0" distL="0" distR="0">
            <wp:extent cx="5010150" cy="4381500"/>
            <wp:effectExtent l="0" t="0" r="0" b="0"/>
            <wp:docPr id="4"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title=""/>
                    <pic:cNvPicPr>
                      <a:picLocks noChangeAspect="1" noChangeArrowheads="1"/>
                    </pic:cNvPicPr>
                  </pic:nvPicPr>
                  <pic:blipFill>
                    <a:blip r:embed="rId7"/>
                    <a:srcRect l="-9" t="-11" r="-9" b="-11"/>
                    <a:stretch>
                      <a:fillRect/>
                    </a:stretch>
                  </pic:blipFill>
                  <pic:spPr bwMode="auto">
                    <a:xfrm>
                      <a:off x="0" y="0"/>
                      <a:ext cx="5010150" cy="4381500"/>
                    </a:xfrm>
                    <a:prstGeom prst="rect">
                      <a:avLst/>
                    </a:prstGeom>
                  </pic:spPr>
                </pic:pic>
              </a:graphicData>
            </a:graphic>
          </wp:inline>
        </w:drawing>
      </w:r>
    </w:p>
    <w:p>
      <w:pPr>
        <w:pStyle w:val="Normal"/>
        <w:rPr/>
      </w:pPr>
      <w:r>
        <w:rPr/>
        <w:t>it is probable that pipe making stone cutters of this age were migrants from the west and not racial descendants from former occupants of the area. The new comers probably intermixed with the indigenous people and continued a few of their local traits in modified form, although they evidently abandoned most of them in favor of new ones that they brought with them.</w:t>
      </w:r>
    </w:p>
    <w:p>
      <w:pPr>
        <w:pStyle w:val="Normal"/>
        <w:rPr/>
      </w:pPr>
      <w:r>
        <w:rPr/>
      </w:r>
    </w:p>
    <w:p>
      <w:pPr>
        <w:pStyle w:val="Normal"/>
        <w:rPr/>
      </w:pPr>
      <w:r>
        <w:rPr/>
        <w:t xml:space="preserve">Bullen, Ripley P. 1947. Three Beverly Graves. </w:t>
      </w:r>
      <w:r>
        <w:rPr>
          <w:rFonts w:cs="Arial" w:ascii="Arial" w:hAnsi="Arial"/>
          <w:i/>
          <w:iCs/>
          <w:color w:val="222222"/>
          <w:sz w:val="20"/>
          <w:szCs w:val="20"/>
          <w:shd w:fill="FFFFFF" w:val="clear"/>
        </w:rPr>
        <w:t>Massachusetts Archaeol. Soc. Bull</w:t>
      </w:r>
      <w:r>
        <w:rPr/>
        <w:t>, 8, No.2, pp. 22-24.</w:t>
      </w:r>
    </w:p>
    <w:p>
      <w:pPr>
        <w:pStyle w:val="Normal"/>
        <w:rPr/>
      </w:pPr>
      <w:r>
        <w:rPr/>
      </w:r>
    </w:p>
    <w:p>
      <w:pPr>
        <w:pStyle w:val="Normal"/>
        <w:rPr/>
      </w:pPr>
      <w:r>
        <w:rPr>
          <w:rFonts w:cs="Arial" w:ascii="Arial" w:hAnsi="Arial"/>
          <w:color w:val="222222"/>
          <w:sz w:val="20"/>
          <w:szCs w:val="20"/>
          <w:shd w:fill="FFFFFF" w:val="clear"/>
        </w:rPr>
        <w:t>Fowler, W.S., 1951. Pipes and rare products of the stone bowl industry. </w:t>
      </w:r>
      <w:r>
        <w:rPr>
          <w:rFonts w:cs="Arial" w:ascii="Arial" w:hAnsi="Arial"/>
          <w:i/>
          <w:iCs/>
          <w:color w:val="222222"/>
          <w:sz w:val="20"/>
          <w:szCs w:val="20"/>
          <w:shd w:fill="FFFFFF" w:val="clear"/>
        </w:rPr>
        <w:t>Massachusetts Archaeol. Soc. Bull.</w:t>
      </w:r>
      <w:r>
        <w:rPr>
          <w:rFonts w:cs="Arial" w:ascii="Arial" w:hAnsi="Arial"/>
          <w:color w:val="222222"/>
          <w:sz w:val="20"/>
          <w:szCs w:val="20"/>
          <w:shd w:fill="FFFFFF" w:val="clear"/>
        </w:rPr>
        <w:t>, </w:t>
      </w:r>
      <w:r>
        <w:rPr>
          <w:rFonts w:cs="Arial" w:ascii="Arial" w:hAnsi="Arial"/>
          <w:i/>
          <w:iCs/>
          <w:color w:val="222222"/>
          <w:sz w:val="20"/>
          <w:szCs w:val="20"/>
          <w:shd w:fill="FFFFFF" w:val="clear"/>
        </w:rPr>
        <w:t>13</w:t>
      </w:r>
      <w:r>
        <w:rPr>
          <w:rFonts w:cs="Arial" w:ascii="Arial" w:hAnsi="Arial"/>
          <w:color w:val="222222"/>
          <w:sz w:val="20"/>
          <w:szCs w:val="20"/>
          <w:shd w:fill="FFFFFF" w:val="clear"/>
        </w:rPr>
        <w:t>, pp.13-20.</w:t>
      </w:r>
    </w:p>
    <w:p>
      <w:pPr>
        <w:pStyle w:val="Normal"/>
        <w:rPr>
          <w:rFonts w:ascii="Arial" w:hAnsi="Arial" w:cs="Arial"/>
          <w:color w:val="222222"/>
          <w:sz w:val="20"/>
          <w:szCs w:val="20"/>
          <w:highlight w:val="white"/>
        </w:rPr>
      </w:pPr>
      <w:r>
        <w:rPr>
          <w:rFonts w:cs="Arial" w:ascii="Arial" w:hAnsi="Arial"/>
          <w:color w:val="222222"/>
          <w:sz w:val="20"/>
          <w:szCs w:val="20"/>
          <w:shd w:fill="FFFFFF" w:val="clear"/>
        </w:rPr>
      </w:r>
    </w:p>
    <w:p>
      <w:pPr>
        <w:pStyle w:val="Normal"/>
        <w:rPr/>
      </w:pPr>
      <w:r>
        <w:rPr>
          <w:rFonts w:cs="Arial" w:ascii="Arial" w:hAnsi="Arial"/>
          <w:color w:val="222222"/>
          <w:sz w:val="20"/>
          <w:szCs w:val="20"/>
          <w:shd w:fill="FFFFFF" w:val="clear"/>
        </w:rPr>
        <w:t>Hadlock, W.S., 1947. Eight platform or" monitor" pipes in the Peabody Museum, Salem, Massachusetts. </w:t>
      </w:r>
      <w:r>
        <w:rPr>
          <w:rFonts w:cs="Arial" w:ascii="Arial" w:hAnsi="Arial"/>
          <w:i/>
          <w:iCs/>
          <w:color w:val="222222"/>
          <w:sz w:val="20"/>
          <w:szCs w:val="20"/>
          <w:shd w:fill="FFFFFF" w:val="clear"/>
        </w:rPr>
        <w:t>Massachusetts Archae-ological Society Bulletin</w:t>
      </w:r>
      <w:r>
        <w:rPr>
          <w:rFonts w:cs="Arial" w:ascii="Arial" w:hAnsi="Arial"/>
          <w:color w:val="222222"/>
          <w:sz w:val="20"/>
          <w:szCs w:val="20"/>
          <w:shd w:fill="FFFFFF" w:val="clear"/>
        </w:rPr>
        <w:t>, </w:t>
      </w:r>
      <w:r>
        <w:rPr>
          <w:rFonts w:cs="Arial" w:ascii="Arial" w:hAnsi="Arial"/>
          <w:i/>
          <w:iCs/>
          <w:color w:val="222222"/>
          <w:sz w:val="20"/>
          <w:szCs w:val="20"/>
          <w:shd w:fill="FFFFFF" w:val="clear"/>
        </w:rPr>
        <w:t>8</w:t>
      </w:r>
      <w:r>
        <w:rPr>
          <w:rFonts w:cs="Arial" w:ascii="Arial" w:hAnsi="Arial"/>
          <w:color w:val="222222"/>
          <w:sz w:val="20"/>
          <w:szCs w:val="20"/>
          <w:shd w:fill="FFFFFF" w:val="clear"/>
        </w:rPr>
        <w:t>(4), pp.49-52.</w:t>
      </w:r>
    </w:p>
    <w:p>
      <w:pPr>
        <w:pStyle w:val="Normal"/>
        <w:rPr>
          <w:lang w:val="en-US" w:eastAsia="en-US"/>
        </w:rPr>
      </w:pPr>
      <w:r>
        <w:rPr>
          <w:lang w:val="en-US" w:eastAsia="en-US"/>
        </w:rPr>
      </w:r>
    </w:p>
    <w:p>
      <w:pPr>
        <w:pStyle w:val="Normal"/>
        <w:rPr/>
      </w:pPr>
      <w:r>
        <w:rPr>
          <w:rFonts w:cs="Arial" w:ascii="Arial" w:hAnsi="Arial"/>
          <w:color w:val="222222"/>
          <w:sz w:val="20"/>
          <w:szCs w:val="20"/>
          <w:shd w:fill="FFFFFF" w:val="clear"/>
        </w:rPr>
        <w:t>Lenik, E.J., 2016. </w:t>
      </w:r>
      <w:r>
        <w:rPr>
          <w:rFonts w:cs="Arial" w:ascii="Arial" w:hAnsi="Arial"/>
          <w:i/>
          <w:iCs/>
          <w:color w:val="222222"/>
          <w:sz w:val="20"/>
          <w:szCs w:val="20"/>
          <w:shd w:fill="FFFFFF" w:val="clear"/>
        </w:rPr>
        <w:t>Amulets, Effigies, Fetishes, and Charms: Native American Artifacts and Spirit Stones from the Northeast</w:t>
      </w:r>
      <w:r>
        <w:rPr>
          <w:rFonts w:cs="Arial" w:ascii="Arial" w:hAnsi="Arial"/>
          <w:color w:val="222222"/>
          <w:sz w:val="20"/>
          <w:szCs w:val="20"/>
          <w:shd w:fill="FFFFFF" w:val="clear"/>
        </w:rPr>
        <w:t>. University of Alabama Press.</w:t>
      </w:r>
    </w:p>
    <w:p>
      <w:pPr>
        <w:pStyle w:val="Normal"/>
        <w:rPr>
          <w:rFonts w:ascii="Arial" w:hAnsi="Arial" w:cs="Arial"/>
          <w:color w:val="222222"/>
          <w:sz w:val="20"/>
          <w:szCs w:val="20"/>
          <w:highlight w:val="white"/>
        </w:rPr>
      </w:pPr>
      <w:r>
        <w:rPr>
          <w:rFonts w:cs="Arial" w:ascii="Arial" w:hAnsi="Arial"/>
          <w:color w:val="222222"/>
          <w:sz w:val="20"/>
          <w:szCs w:val="20"/>
          <w:shd w:fill="FFFFFF" w:val="clear"/>
        </w:rPr>
      </w:r>
    </w:p>
    <w:p>
      <w:pPr>
        <w:pStyle w:val="Normal"/>
        <w:rPr>
          <w:rFonts w:ascii="Arial" w:hAnsi="Arial" w:cs="Arial"/>
          <w:color w:val="222222"/>
          <w:sz w:val="20"/>
          <w:szCs w:val="20"/>
          <w:highlight w:val="white"/>
        </w:rPr>
      </w:pPr>
      <w:r>
        <w:rPr>
          <w:rFonts w:cs="Arial" w:ascii="Arial" w:hAnsi="Arial"/>
          <w:color w:val="222222"/>
          <w:sz w:val="20"/>
          <w:szCs w:val="20"/>
          <w:shd w:fill="FFFFFF" w:val="clear"/>
        </w:rPr>
      </w:r>
    </w:p>
    <w:p>
      <w:pPr>
        <w:pStyle w:val="Normal"/>
        <w:rPr>
          <w:rFonts w:ascii="Helvetica" w:hAnsi="Helvetica" w:cs="Helvetica"/>
          <w:color w:val="595959"/>
          <w:sz w:val="20"/>
          <w:szCs w:val="20"/>
          <w:highlight w:val="white"/>
        </w:rPr>
      </w:pPr>
      <w:r>
        <w:rPr>
          <w:rFonts w:cs="Arial" w:ascii="Arial" w:hAnsi="Arial"/>
          <w:color w:val="222222"/>
          <w:sz w:val="20"/>
          <w:szCs w:val="20"/>
          <w:shd w:fill="FFFFFF" w:val="clear"/>
        </w:rPr>
        <w:t>Willoughby, C.C., 1935. </w:t>
      </w:r>
      <w:r>
        <w:rPr>
          <w:rFonts w:cs="Arial" w:ascii="Arial" w:hAnsi="Arial"/>
          <w:i/>
          <w:iCs/>
          <w:color w:val="222222"/>
          <w:sz w:val="20"/>
          <w:szCs w:val="20"/>
          <w:shd w:fill="FFFFFF" w:val="clear"/>
        </w:rPr>
        <w:t>Antiquities of the New England Indians: With Notes on the Ancient Cultures of the Adjacent Territory</w:t>
      </w:r>
      <w:r>
        <w:rPr>
          <w:rFonts w:cs="Arial" w:ascii="Arial" w:hAnsi="Arial"/>
          <w:color w:val="222222"/>
          <w:sz w:val="20"/>
          <w:szCs w:val="20"/>
          <w:shd w:fill="FFFFFF" w:val="clear"/>
        </w:rPr>
        <w:t> (Vol. 17). Ams PressInc.</w:t>
      </w:r>
    </w:p>
    <w:p>
      <w:pPr>
        <w:pStyle w:val="Normal"/>
        <w:rPr>
          <w:rFonts w:ascii="Helvetica" w:hAnsi="Helvetica" w:cs="Helvetica"/>
          <w:color w:val="595959"/>
          <w:sz w:val="20"/>
          <w:szCs w:val="20"/>
          <w:highlight w:val="white"/>
        </w:rPr>
      </w:pPr>
      <w:r>
        <w:rPr>
          <w:rFonts w:cs="Helvetica" w:ascii="Helvetica" w:hAnsi="Helvetica"/>
          <w:color w:val="595959"/>
          <w:sz w:val="20"/>
          <w:szCs w:val="20"/>
          <w:shd w:fill="FFFFFF" w:val="clear"/>
        </w:rPr>
      </w:r>
    </w:p>
    <w:tbl>
      <w:tblPr>
        <w:tblW w:w="10314" w:type="dxa"/>
        <w:jc w:val="start"/>
        <w:tblInd w:w="-45" w:type="dxa"/>
        <w:tblBorders/>
        <w:tblCellMar>
          <w:top w:w="15" w:type="dxa"/>
          <w:start w:w="15" w:type="dxa"/>
          <w:bottom w:w="15" w:type="dxa"/>
          <w:end w:w="15" w:type="dxa"/>
        </w:tblCellMar>
      </w:tblPr>
      <w:tblGrid>
        <w:gridCol w:w="1501"/>
        <w:gridCol w:w="8813"/>
      </w:tblGrid>
      <w:tr>
        <w:trPr/>
        <w:tc>
          <w:tcPr>
            <w:tcW w:w="1501" w:type="dxa"/>
            <w:tcBorders/>
            <w:shd w:fill="auto" w:val="clear"/>
            <w:vAlign w:val="center"/>
          </w:tcPr>
          <w:p>
            <w:pPr>
              <w:pStyle w:val="Heading3"/>
              <w:spacing w:before="0" w:after="280"/>
              <w:rPr/>
            </w:pPr>
            <w:r>
              <w:rPr>
                <w:rStyle w:val="Headerlabel"/>
              </w:rPr>
              <w:t>ORDER DATE</w:t>
            </w:r>
          </w:p>
          <w:p>
            <w:pPr>
              <w:pStyle w:val="Heading3"/>
              <w:spacing w:before="280" w:after="0"/>
              <w:rPr/>
            </w:pPr>
            <w:r>
              <w:rPr/>
              <w:t>Apr 11, 2016</w:t>
            </w:r>
          </w:p>
        </w:tc>
        <w:tc>
          <w:tcPr>
            <w:tcW w:w="8813" w:type="dxa"/>
            <w:tcBorders/>
            <w:shd w:fill="auto" w:val="clear"/>
            <w:vAlign w:val="center"/>
          </w:tcPr>
          <w:p>
            <w:pPr>
              <w:pStyle w:val="Normal"/>
              <w:rPr/>
            </w:pPr>
            <w:r>
              <w:rPr>
                <w:rStyle w:val="Headerlabel"/>
              </w:rPr>
              <w:t>ORDER TOTAL</w:t>
            </w:r>
          </w:p>
          <w:p>
            <w:pPr>
              <w:pStyle w:val="Normal"/>
              <w:rPr/>
            </w:pPr>
            <w:r>
              <w:rPr>
                <w:rStyle w:val="Costlabel"/>
              </w:rPr>
              <w:t>US $425.00</w:t>
            </w:r>
          </w:p>
          <w:p>
            <w:pPr>
              <w:pStyle w:val="Normal"/>
              <w:rPr/>
            </w:pPr>
            <w:r>
              <w:rPr/>
              <w:t>Free shipping</w:t>
            </w:r>
          </w:p>
          <w:p>
            <w:pPr>
              <w:pStyle w:val="Normal"/>
              <w:rPr/>
            </w:pPr>
            <w:r>
              <w:rPr>
                <w:b/>
                <w:bCs/>
              </w:rPr>
              <w:t>Order 3 3/4" Museum Quality Hopewell Platform Pipe</w:t>
            </w:r>
            <w:r>
              <w:rPr/>
              <w:t xml:space="preserve"> </w:t>
            </w:r>
            <w:hyperlink r:id="rId8">
              <w:r>
                <w:rPr>
                  <w:rStyle w:val="InternetLink"/>
                </w:rPr>
                <w:t>Leave feedback</w:t>
              </w:r>
              <w:r>
                <w:rPr>
                  <w:rStyle w:val="Ghhdn"/>
                  <w:color w:val="0000FF"/>
                  <w:u w:val="single"/>
                </w:rPr>
                <w:t xml:space="preserve"> - ORDER DATE Apr 11, 2016</w:t>
              </w:r>
            </w:hyperlink>
            <w:hyperlink r:id="rId9">
              <w:r>
                <w:rPr>
                  <w:rStyle w:val="InternetLink"/>
                </w:rPr>
                <w:t>View order details</w:t>
              </w:r>
            </w:hyperlink>
            <w:r>
              <w:rPr>
                <w:rStyle w:val="Ghhdn"/>
                <w:color w:val="0000FF"/>
                <w:u w:val="single"/>
              </w:rPr>
              <w:t xml:space="preserve"> - ORDER DATE Apr 11, 2016</w:t>
            </w:r>
          </w:p>
          <w:p>
            <w:pPr>
              <w:pStyle w:val="Normal"/>
              <w:rPr/>
            </w:pPr>
            <w:hyperlink r:id="rId10">
              <w:r>
                <w:rPr>
                  <w:rStyle w:val="InternetLink"/>
                </w:rPr>
                <w:t>More actions</w:t>
              </w:r>
              <w:r>
                <w:rPr>
                  <w:rStyle w:val="Arrowdown"/>
                  <w:color w:val="0000FF"/>
                  <w:u w:val="single"/>
                </w:rPr>
                <w:t xml:space="preserve"> </w:t>
              </w:r>
              <w:r>
                <w:rPr>
                  <w:rStyle w:val="Ghhdn"/>
                  <w:color w:val="0000FF"/>
                  <w:u w:val="single"/>
                </w:rPr>
                <w:t>- ORDER DATE Apr 11, 2016</w:t>
              </w:r>
            </w:hyperlink>
          </w:p>
        </w:tc>
      </w:tr>
    </w:tbl>
    <w:p>
      <w:pPr>
        <w:pStyle w:val="Normal"/>
        <w:rPr/>
      </w:pPr>
      <w:r>
        <w:rPr/>
        <w:t xml:space="preserve">1 item sold by </w:t>
      </w:r>
      <w:hyperlink r:id="rId11">
        <w:r>
          <w:rPr>
            <w:rStyle w:val="InternetLink"/>
          </w:rPr>
          <w:t>lynnscollectibles</w:t>
        </w:r>
      </w:hyperlink>
      <w:r>
        <w:rPr/>
        <w:t xml:space="preserve"> </w:t>
      </w:r>
    </w:p>
    <w:tbl>
      <w:tblPr>
        <w:tblW w:w="7857" w:type="dxa"/>
        <w:jc w:val="start"/>
        <w:tblInd w:w="-45" w:type="dxa"/>
        <w:tblBorders/>
        <w:tblCellMar>
          <w:top w:w="15" w:type="dxa"/>
          <w:start w:w="15" w:type="dxa"/>
          <w:bottom w:w="15" w:type="dxa"/>
          <w:end w:w="15" w:type="dxa"/>
        </w:tblCellMar>
      </w:tblPr>
      <w:tblGrid>
        <w:gridCol w:w="6322"/>
        <w:gridCol w:w="1454"/>
        <w:gridCol w:w="81"/>
      </w:tblGrid>
      <w:tr>
        <w:trPr/>
        <w:tc>
          <w:tcPr>
            <w:tcW w:w="6322" w:type="dxa"/>
            <w:tcBorders/>
            <w:shd w:fill="auto" w:val="clear"/>
            <w:vAlign w:val="center"/>
          </w:tcPr>
          <w:p>
            <w:pPr>
              <w:pStyle w:val="Normal"/>
              <w:rPr>
                <w:rStyle w:val="Imgt"/>
                <w:color w:val="0000FF"/>
              </w:rPr>
            </w:pPr>
            <w:r>
              <w:rPr>
                <w:color w:val="0000FF"/>
              </w:rPr>
              <w:drawing>
                <wp:inline distT="0" distB="0" distL="0" distR="0">
                  <wp:extent cx="1333500" cy="1000125"/>
                  <wp:effectExtent l="0" t="0" r="0" b="0"/>
                  <wp:docPr id="5"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title=""/>
                          <pic:cNvPicPr>
                            <a:picLocks noChangeAspect="1" noChangeArrowheads="1"/>
                          </pic:cNvPicPr>
                        </pic:nvPicPr>
                        <pic:blipFill>
                          <a:blip r:embed="rId12"/>
                          <a:srcRect l="-20" t="-26" r="-20" b="-26"/>
                          <a:stretch>
                            <a:fillRect/>
                          </a:stretch>
                        </pic:blipFill>
                        <pic:spPr bwMode="auto">
                          <a:xfrm>
                            <a:off x="0" y="0"/>
                            <a:ext cx="1333500" cy="1000125"/>
                          </a:xfrm>
                          <a:prstGeom prst="rect">
                            <a:avLst/>
                          </a:prstGeom>
                        </pic:spPr>
                      </pic:pic>
                    </a:graphicData>
                  </a:graphic>
                </wp:inline>
              </w:drawing>
            </w:r>
          </w:p>
          <w:p>
            <w:pPr>
              <w:pStyle w:val="Normal"/>
              <w:rPr/>
            </w:pPr>
            <w:hyperlink r:id="rId13">
              <w:r>
                <w:rPr>
                  <w:rStyle w:val="InternetLink"/>
                </w:rPr>
                <w:t>3 3/4" Museum Quality Hopewell Platform Pipe</w:t>
              </w:r>
            </w:hyperlink>
          </w:p>
          <w:p>
            <w:pPr>
              <w:pStyle w:val="Normal"/>
              <w:rPr/>
            </w:pPr>
            <w:r>
              <w:rPr/>
              <w:t>( 111947891960 )</w:t>
            </w:r>
          </w:p>
          <w:p>
            <w:pPr>
              <w:pStyle w:val="Normal"/>
              <w:rPr/>
            </w:pPr>
            <w:r>
              <w:rPr/>
              <w:t xml:space="preserve">Delivered on </w:t>
            </w:r>
            <w:r>
              <w:rPr>
                <w:rStyle w:val="StrongEmphasis"/>
              </w:rPr>
              <w:t>Thu, Apr 14</w:t>
            </w:r>
          </w:p>
          <w:p>
            <w:pPr>
              <w:pStyle w:val="Normal"/>
              <w:rPr/>
            </w:pPr>
            <w:r>
              <w:rPr/>
              <w:t xml:space="preserve">Tracking number: </w:t>
            </w:r>
            <w:hyperlink r:id="rId14">
              <w:r>
                <w:rPr>
                  <w:rStyle w:val="InternetLink"/>
                  <w:b/>
                  <w:bCs/>
                </w:rPr>
                <w:t>Tracking number</w:t>
              </w:r>
              <w:r>
                <w:rPr>
                  <w:rStyle w:val="InternetLink"/>
                </w:rPr>
                <w:t>9505514162116103228013</w:t>
              </w:r>
            </w:hyperlink>
          </w:p>
          <w:p>
            <w:pPr>
              <w:pStyle w:val="Normal"/>
              <w:rPr/>
            </w:pPr>
            <w:hyperlink r:id="rId15">
              <w:r>
                <w:rPr>
                  <w:rStyle w:val="Label"/>
                  <w:color w:val="0000FF"/>
                  <w:u w:val="single"/>
                </w:rPr>
                <w:t>Add note</w:t>
              </w:r>
            </w:hyperlink>
          </w:p>
        </w:tc>
        <w:tc>
          <w:tcPr>
            <w:tcW w:w="1454" w:type="dxa"/>
            <w:tcBorders/>
            <w:shd w:fill="auto" w:val="clear"/>
            <w:vAlign w:val="center"/>
          </w:tcPr>
          <w:p>
            <w:pPr>
              <w:pStyle w:val="Normal"/>
              <w:rPr/>
            </w:pPr>
            <w:r>
              <w:rPr>
                <w:rStyle w:val="Headerlabel"/>
              </w:rPr>
              <w:t>ITEM PRICE:</w:t>
            </w:r>
          </w:p>
          <w:p>
            <w:pPr>
              <w:pStyle w:val="Normal"/>
              <w:rPr/>
            </w:pPr>
            <w:r>
              <w:rPr>
                <w:rStyle w:val="Costlabel"/>
              </w:rPr>
              <w:t>US $425.00</w:t>
            </w:r>
          </w:p>
        </w:tc>
        <w:tc>
          <w:tcPr>
            <w:tcW w:w="81" w:type="dxa"/>
            <w:tcBorders/>
            <w:shd w:fill="auto" w:val="clear"/>
            <w:vAlign w:val="center"/>
          </w:tcPr>
          <w:p>
            <w:pPr>
              <w:pStyle w:val="Normal"/>
              <w:snapToGrid w:val="false"/>
              <w:rPr/>
            </w:pPr>
            <w:hyperlink r:id="rId16">
              <w:r>
                <w:rPr/>
              </w:r>
            </w:hyperlink>
          </w:p>
          <w:p>
            <w:pPr>
              <w:pStyle w:val="Normal"/>
              <w:rPr/>
            </w:pPr>
            <w:hyperlink r:id="rId17">
              <w:r>
                <w:rPr/>
              </w:r>
            </w:hyperlink>
          </w:p>
        </w:tc>
      </w:tr>
    </w:tbl>
    <w:p>
      <w:pPr>
        <w:pStyle w:val="Heading1"/>
        <w:rPr>
          <w:b w:val="false"/>
          <w:b w:val="false"/>
          <w:bCs w:val="false"/>
          <w:color w:val="000000"/>
          <w:sz w:val="24"/>
        </w:rPr>
      </w:pPr>
      <w:r>
        <w:rPr>
          <w:b w:val="false"/>
          <w:bCs w:val="false"/>
          <w:color w:val="000000"/>
          <w:sz w:val="24"/>
          <w:szCs w:val="36"/>
        </w:rPr>
        <w:t>Hopewell platform pipe of Ohio pipestone, from Adams County, Ohio. Length: 3 ¾ in.; width: 1 ¾ in.; heigth: 2 in. </w:t>
      </w:r>
    </w:p>
    <w:p>
      <w:pPr>
        <w:pStyle w:val="Normal"/>
        <w:rPr/>
      </w:pPr>
      <w:r>
        <w:rPr/>
        <w:t>Estimate $700.00.</w:t>
      </w:r>
    </w:p>
    <w:p>
      <w:pPr>
        <w:pStyle w:val="Normal"/>
        <w:rPr/>
      </w:pPr>
      <w:r>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Helvetica">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paragraph" w:styleId="Heading3">
    <w:name w:val="Heading 3"/>
    <w:basedOn w:val="Normal"/>
    <w:next w:val="TextBody"/>
    <w:qFormat/>
    <w:pPr>
      <w:numPr>
        <w:ilvl w:val="2"/>
        <w:numId w:val="1"/>
      </w:numPr>
      <w:spacing w:before="280" w:after="280"/>
      <w:outlineLvl w:val="2"/>
    </w:pPr>
    <w:rPr>
      <w:b/>
      <w:bCs/>
      <w:sz w:val="27"/>
      <w:szCs w:val="27"/>
    </w:rPr>
  </w:style>
  <w:style w:type="character" w:styleId="DefaultParagraphFont">
    <w:name w:val="Default Paragraph Font"/>
    <w:qFormat/>
    <w:rPr/>
  </w:style>
  <w:style w:type="character" w:styleId="Headerlabel">
    <w:name w:val="header-label"/>
    <w:basedOn w:val="DefaultParagraphFont"/>
    <w:qFormat/>
    <w:rPr/>
  </w:style>
  <w:style w:type="character" w:styleId="Costlabel">
    <w:name w:val="cost-label"/>
    <w:basedOn w:val="DefaultParagraphFont"/>
    <w:qFormat/>
    <w:rPr/>
  </w:style>
  <w:style w:type="character" w:styleId="InternetLink">
    <w:name w:val="Internet Link"/>
    <w:rPr>
      <w:color w:val="0000FF"/>
      <w:u w:val="single"/>
    </w:rPr>
  </w:style>
  <w:style w:type="character" w:styleId="Ghhdn">
    <w:name w:val="gh-hdn"/>
    <w:basedOn w:val="DefaultParagraphFont"/>
    <w:qFormat/>
    <w:rPr/>
  </w:style>
  <w:style w:type="character" w:styleId="Arrowdown">
    <w:name w:val="arrow-down"/>
    <w:basedOn w:val="DefaultParagraphFont"/>
    <w:qFormat/>
    <w:rPr/>
  </w:style>
  <w:style w:type="character" w:styleId="Imgt">
    <w:name w:val="imgt"/>
    <w:basedOn w:val="DefaultParagraphFont"/>
    <w:qFormat/>
    <w:rPr/>
  </w:style>
  <w:style w:type="character" w:styleId="StrongEmphasis">
    <w:name w:val="Strong Emphasis"/>
    <w:qFormat/>
    <w:rPr>
      <w:b/>
      <w:bCs/>
    </w:rPr>
  </w:style>
  <w:style w:type="character" w:styleId="Label">
    <w:name w:val="label"/>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oleObject" Target="embeddings/oleObject1.bin"/><Relationship Id="rId6" Type="http://schemas.openxmlformats.org/officeDocument/2006/relationships/image" Target="media/image4.wmf"/><Relationship Id="rId7" Type="http://schemas.openxmlformats.org/officeDocument/2006/relationships/image" Target="media/image5.png"/><Relationship Id="rId8" Type="http://schemas.openxmlformats.org/officeDocument/2006/relationships/hyperlink" Target="http://feedback.ebay.com/ws/eBayISAPI.dll?LeaveFeedbackShow&amp;useridto=lynnscollectibles&amp;transactID=1506477204001&amp;item=111947891960&amp;_trksid=p2057872.m2749.l2665" TargetMode="External"/><Relationship Id="rId9" Type="http://schemas.openxmlformats.org/officeDocument/2006/relationships/hyperlink" Target="http://payments.ebay.com/ws/eBayISAPI.dll?ViewPaymentStatus&amp;transId=1506477204001&amp;itemid=111947891960&amp;_trksid=p2057872.m2749.l2673" TargetMode="External"/><Relationship Id="rId10" Type="http://schemas.openxmlformats.org/officeDocument/2006/relationships/hyperlink" Target="http://www.ebay.com/myb/PurchaseHistory" TargetMode="External"/><Relationship Id="rId11" Type="http://schemas.openxmlformats.org/officeDocument/2006/relationships/hyperlink" Target="http://www.ebay.com/usr/lynnscollectibles?_trksid=p2057872.m2749.l2754" TargetMode="External"/><Relationship Id="rId12" Type="http://schemas.openxmlformats.org/officeDocument/2006/relationships/image" Target="media/image6.jpeg"/><Relationship Id="rId13" Type="http://schemas.openxmlformats.org/officeDocument/2006/relationships/hyperlink" Target="http://www.ebay.com/itm/111947891960?_trksid=p2057872.m2749.l2649&amp;ssPageName=STRK%3AMEBIDX%3AIT" TargetMode="External"/><Relationship Id="rId14" Type="http://schemas.openxmlformats.org/officeDocument/2006/relationships/hyperlink" Target="javascript:;" TargetMode="External"/><Relationship Id="rId15" Type="http://schemas.openxmlformats.org/officeDocument/2006/relationships/hyperlink" Target="javascript:;" TargetMode="External"/><Relationship Id="rId16" Type="http://schemas.openxmlformats.org/officeDocument/2006/relationships/hyperlink" Target="http://payments.ebay.com/ws/eBayISAPI.dll?ViewPaymentStatus&amp;transId=1506477204001&amp;itemid=111947891960&amp;_trksid=p2057872.m2749.l2673" TargetMode="External"/><Relationship Id="rId17" Type="http://schemas.openxmlformats.org/officeDocument/2006/relationships/hyperlink" Target="http://www.ebay.com/myb/PurchaseHistory" TargetMode="Externa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2019-01-02T16:43:00Z</dcterms:created>
  <dc:creator>owner</dc:creator>
  <dc:description/>
  <cp:keywords/>
  <dc:language>en-US</dc:language>
  <cp:lastModifiedBy>Coffman</cp:lastModifiedBy>
  <dcterms:modified xsi:type="dcterms:W3CDTF">2019-01-02T16:43:00Z</dcterms:modified>
  <cp:revision>2</cp:revision>
  <dc:subject/>
  <dc:title>DIS-ARC-Pipe-Hopewell-Platform Curved</dc:title>
</cp:coreProperties>
</file>