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A000-US-OH-Erie County-Birdstone-Cooper-1200 CE</w:t>
      </w:r>
    </w:p>
    <w:p>
      <w:pPr>
        <w:pStyle w:val="Normal"/>
        <w:rPr/>
      </w:pPr>
      <w:r>
        <w:rPr/>
        <w:drawing>
          <wp:inline distT="0" distB="0" distL="0" distR="0">
            <wp:extent cx="5935345" cy="27038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3" r="-6" b="-13"/>
                    <a:stretch>
                      <a:fillRect/>
                    </a:stretch>
                  </pic:blipFill>
                  <pic:spPr bwMode="auto">
                    <a:xfrm>
                      <a:off x="0" y="0"/>
                      <a:ext cx="5935345" cy="2703830"/>
                    </a:xfrm>
                    <a:prstGeom prst="rect">
                      <a:avLst/>
                    </a:prstGeom>
                  </pic:spPr>
                </pic:pic>
              </a:graphicData>
            </a:graphic>
          </wp:inline>
        </w:drawing>
      </w:r>
    </w:p>
    <w:p>
      <w:pPr>
        <w:pStyle w:val="Normal"/>
        <w:rPr/>
      </w:pPr>
      <w:r>
        <w:rPr/>
        <w:drawing>
          <wp:inline distT="0" distB="0" distL="0" distR="0">
            <wp:extent cx="5933440" cy="19659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11" r="-3" b="-11"/>
                    <a:stretch>
                      <a:fillRect/>
                    </a:stretch>
                  </pic:blipFill>
                  <pic:spPr bwMode="auto">
                    <a:xfrm>
                      <a:off x="0" y="0"/>
                      <a:ext cx="5933440" cy="1965960"/>
                    </a:xfrm>
                    <a:prstGeom prst="rect">
                      <a:avLst/>
                    </a:prstGeom>
                  </pic:spPr>
                </pic:pic>
              </a:graphicData>
            </a:graphic>
          </wp:inline>
        </w:drawing>
      </w:r>
    </w:p>
    <w:p>
      <w:pPr>
        <w:pStyle w:val="Normal"/>
        <w:rPr/>
      </w:pPr>
      <w:r>
        <w:rPr/>
        <w:t xml:space="preserve"> </w:t>
      </w:r>
      <w:r>
        <w:rPr/>
        <w:drawing>
          <wp:inline distT="0" distB="0" distL="0" distR="0">
            <wp:extent cx="6004560" cy="22644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18" r="-7" b="-18"/>
                    <a:stretch>
                      <a:fillRect/>
                    </a:stretch>
                  </pic:blipFill>
                  <pic:spPr bwMode="auto">
                    <a:xfrm>
                      <a:off x="0" y="0"/>
                      <a:ext cx="6004560" cy="2264410"/>
                    </a:xfrm>
                    <a:prstGeom prst="rect">
                      <a:avLst/>
                    </a:prstGeom>
                  </pic:spPr>
                </pic:pic>
              </a:graphicData>
            </a:graphic>
          </wp:inline>
        </w:drawing>
      </w:r>
    </w:p>
    <w:p>
      <w:pPr>
        <w:pStyle w:val="Normal"/>
        <w:rPr/>
      </w:pPr>
      <w:r>
        <w:rPr/>
        <w:t xml:space="preserve"> </w:t>
      </w:r>
      <w:r>
        <w:rPr/>
        <w:drawing>
          <wp:inline distT="0" distB="0" distL="0" distR="0">
            <wp:extent cx="1132205" cy="14560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8" t="-14" r="-18" b="-14"/>
                    <a:stretch>
                      <a:fillRect/>
                    </a:stretch>
                  </pic:blipFill>
                  <pic:spPr bwMode="auto">
                    <a:xfrm>
                      <a:off x="0" y="0"/>
                      <a:ext cx="1132205" cy="1456055"/>
                    </a:xfrm>
                    <a:prstGeom prst="rect">
                      <a:avLst/>
                    </a:prstGeom>
                  </pic:spPr>
                </pic:pic>
              </a:graphicData>
            </a:graphic>
          </wp:inline>
        </w:drawing>
      </w:r>
      <w:r>
        <w:rPr/>
        <w:drawing>
          <wp:inline distT="0" distB="0" distL="0" distR="0">
            <wp:extent cx="5048885" cy="14414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22" r="-6" b="-22"/>
                    <a:stretch>
                      <a:fillRect/>
                    </a:stretch>
                  </pic:blipFill>
                  <pic:spPr bwMode="auto">
                    <a:xfrm>
                      <a:off x="0" y="0"/>
                      <a:ext cx="5048885" cy="1441450"/>
                    </a:xfrm>
                    <a:prstGeom prst="rect">
                      <a:avLst/>
                    </a:prstGeom>
                  </pic:spPr>
                </pic:pic>
              </a:graphicData>
            </a:graphic>
          </wp:inline>
        </w:drawing>
      </w:r>
    </w:p>
    <w:p>
      <w:pPr>
        <w:pStyle w:val="Normal"/>
        <w:rPr/>
      </w:pPr>
      <w:r>
        <w:rPr/>
        <w:t>US-OH-Erie County-Birdstone-Cooper-1200 CE</w:t>
      </w:r>
    </w:p>
    <w:p>
      <w:pPr>
        <w:pStyle w:val="Normal"/>
        <w:rPr/>
      </w:pPr>
      <w:r>
        <w:rPr>
          <w:rStyle w:val="StrongEmphasis"/>
        </w:rPr>
        <w:t>Case no.: 11</w:t>
      </w:r>
    </w:p>
    <w:p>
      <w:pPr>
        <w:pStyle w:val="Normal"/>
        <w:rPr/>
      </w:pPr>
      <w:r>
        <w:rPr>
          <w:rStyle w:val="StrongEmphasis"/>
        </w:rPr>
        <w:t>Accession Number:</w:t>
      </w:r>
    </w:p>
    <w:p>
      <w:pPr>
        <w:pStyle w:val="Normal"/>
        <w:rPr/>
      </w:pPr>
      <w:r>
        <w:rPr>
          <w:rStyle w:val="StrongEmphasis"/>
        </w:rPr>
        <w:t xml:space="preserve">Formal Label: </w:t>
      </w:r>
      <w:r>
        <w:rPr/>
        <w:t>US-OH-Erie County-Birdstone-Cooper-1200 CE</w:t>
      </w:r>
    </w:p>
    <w:p>
      <w:pPr>
        <w:pStyle w:val="Normal"/>
        <w:rPr>
          <w:rStyle w:val="StrongEmphasis"/>
        </w:rPr>
      </w:pPr>
      <w:r>
        <w:rPr/>
      </w:r>
    </w:p>
    <w:p>
      <w:pPr>
        <w:pStyle w:val="Normal"/>
        <w:rPr/>
      </w:pPr>
      <w:r>
        <w:rPr>
          <w:b/>
          <w:bCs/>
        </w:rPr>
        <w:t>Display Description:</w:t>
      </w:r>
    </w:p>
    <w:p>
      <w:pPr>
        <w:pStyle w:val="Normal"/>
        <w:rPr/>
      </w:pPr>
      <w:r>
        <w:rPr/>
        <w:t>"The probability--is that these bird-stones were used or worn by the men rather than by the women, and Cushing's theory that they were attached to a plate and fixed to the hair is plausible." The underside (of birdstones) is flat or slightly concave, and there are two perforations at the extremities of the base intended to serve in attaching the figure to the surface of some object, as a tablet, a pipe stem, a flute, or a staff or baton, or some part of the costume, or to the hair”-- Frederick Webb Hodge, 1919. "Bird-Stones," </w:t>
      </w:r>
      <w:r>
        <w:rPr>
          <w:i/>
        </w:rPr>
        <w:t>Handbook of American Indians North of Mexico</w:t>
      </w:r>
      <w:r>
        <w:rPr/>
        <w:t>, part 1, Washington, DC:  Smithsonian, p. 148.</w:t>
      </w:r>
    </w:p>
    <w:p>
      <w:pPr>
        <w:pStyle w:val="Normal"/>
        <w:rPr/>
      </w:pPr>
      <w:r>
        <w:rPr/>
        <w:t>"It may reasonably be concluded from the uniform shape of these (birdstones) articles, and from their apparent unfitness as implements, as also from the wide range of their occurrence, that they were invested with a conventional significance as insignia or badges of distinction or as amulets"---E. G. Squier and E. H. Davis. 1848. "Ornaments Of Stone, Bone, Etc.," </w:t>
      </w:r>
      <w:r>
        <w:rPr>
          <w:i/>
        </w:rPr>
        <w:t>Ancient Monuments Of The Mississippi Valley</w:t>
      </w:r>
      <w:r>
        <w:rPr/>
        <w:t>, p. 239.</w:t>
        <w:br/>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4-1/2" long by 1-7/8" tall.</w:t>
      </w:r>
    </w:p>
    <w:p>
      <w:pPr>
        <w:pStyle w:val="Normal"/>
        <w:rPr/>
      </w:pPr>
      <w:r>
        <w:rPr>
          <w:rStyle w:val="StrongEmphasis"/>
        </w:rPr>
        <w:t xml:space="preserve">Weight:  </w:t>
      </w:r>
    </w:p>
    <w:p>
      <w:pPr>
        <w:pStyle w:val="Normal"/>
        <w:rPr/>
      </w:pPr>
      <w:r>
        <w:rPr>
          <w:rStyle w:val="StrongEmphasis"/>
        </w:rPr>
        <w:t>Condition:</w:t>
      </w:r>
    </w:p>
    <w:p>
      <w:pPr>
        <w:pStyle w:val="Normal"/>
        <w:rPr/>
      </w:pPr>
      <w:r>
        <w:rPr>
          <w:rStyle w:val="StrongEmphasis"/>
        </w:rPr>
        <w:t>Provenance:</w:t>
      </w:r>
      <w:r>
        <w:rPr/>
        <w:t xml:space="preserve"> It was found in Erie County, Ohio. It is made out of Banded Slate. It is 4-1/2" long by 1-7/8" tall. It comes with a Thomas E. Shenk COA. It also comes with a Grade 9.5 Jeff Baker COA.</w:t>
      </w:r>
    </w:p>
    <w:p>
      <w:pPr>
        <w:pStyle w:val="Normal"/>
        <w:rPr/>
      </w:pPr>
      <w:hyperlink r:id="rId7" w:tgtFrame="_blank">
        <w:r>
          <w:rPr>
            <w:rStyle w:val="InternetLink"/>
          </w:rPr>
          <w:t>Thomas E. Shenk | Department of Molecular Biology</w:t>
        </w:r>
      </w:hyperlink>
    </w:p>
    <w:p>
      <w:pPr>
        <w:pStyle w:val="Normal"/>
        <w:rPr/>
      </w:pPr>
      <w:hyperlink r:id="rId8" w:tgtFrame="_blank">
        <w:r>
          <w:rPr>
            <w:rStyle w:val="InternetLink"/>
          </w:rPr>
          <w:t>Department of Molecular Biology - Princeton University</w:t>
        </w:r>
      </w:hyperlink>
    </w:p>
    <w:p>
      <w:pPr>
        <w:pStyle w:val="Normal"/>
        <w:rPr>
          <w:lang w:val="en-US" w:eastAsia="en-US"/>
        </w:rPr>
      </w:pPr>
      <w:r>
        <w:rPr/>
        <w:drawing>
          <wp:inline distT="0" distB="0" distL="0" distR="0">
            <wp:extent cx="2402840" cy="3429000"/>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9"/>
                    <a:srcRect l="-11" t="-8" r="-11" b="-8"/>
                    <a:stretch>
                      <a:fillRect/>
                    </a:stretch>
                  </pic:blipFill>
                  <pic:spPr bwMode="auto">
                    <a:xfrm>
                      <a:off x="0" y="0"/>
                      <a:ext cx="2402840" cy="3429000"/>
                    </a:xfrm>
                    <a:prstGeom prst="rect">
                      <a:avLst/>
                    </a:prstGeom>
                  </pic:spPr>
                </pic:pic>
              </a:graphicData>
            </a:graphic>
          </wp:inline>
        </w:drawing>
      </w:r>
    </w:p>
    <w:p>
      <w:pPr>
        <w:pStyle w:val="Normal"/>
        <w:shd w:fill="F4F4F1" w:val="clear"/>
        <w:rPr>
          <w:rStyle w:val="Fa"/>
          <w:rFonts w:ascii="Arial" w:hAnsi="Arial" w:cs="Arial"/>
          <w:color w:val="484848"/>
        </w:rPr>
      </w:pPr>
      <w:hyperlink r:id="rId10">
        <w:r>
          <w:rPr>
            <w:rStyle w:val="InternetLink"/>
            <w:rFonts w:cs="Arial" w:ascii="inherit;Times New Roman" w:hAnsi="inherit;Times New Roman"/>
            <w:color w:val="994400"/>
          </w:rPr>
          <w:t>tshenk@princeton.edu</w:t>
        </w:r>
      </w:hyperlink>
    </w:p>
    <w:p>
      <w:pPr>
        <w:pStyle w:val="Normal"/>
        <w:shd w:fill="F4F4F1" w:val="clear"/>
        <w:rPr>
          <w:rFonts w:ascii="Arial" w:hAnsi="Arial" w:cs="Arial"/>
          <w:color w:val="484848"/>
        </w:rPr>
      </w:pPr>
      <w:r>
        <w:rPr>
          <w:rStyle w:val="Fa"/>
          <w:rFonts w:cs="Arial" w:ascii="inherit;Times New Roman" w:hAnsi="inherit;Times New Roman"/>
          <w:color w:val="484848"/>
        </w:rPr>
        <w:t>609-258-5992</w:t>
      </w:r>
    </w:p>
    <w:p>
      <w:pPr>
        <w:pStyle w:val="Normal"/>
        <w:shd w:fill="F4F4F1" w:val="clear"/>
        <w:rPr>
          <w:rFonts w:ascii="Arial" w:hAnsi="Arial" w:cs="Arial"/>
          <w:color w:val="484848"/>
        </w:rPr>
      </w:pPr>
      <w:r>
        <w:rPr>
          <w:rStyle w:val="Fa"/>
          <w:rFonts w:cs="Arial" w:ascii="inherit;Times New Roman" w:hAnsi="inherit;Times New Roman"/>
          <w:color w:val="484848"/>
        </w:rPr>
        <w:t>609-258-1704</w:t>
      </w:r>
    </w:p>
    <w:p>
      <w:pPr>
        <w:pStyle w:val="Normal"/>
        <w:shd w:fill="F4F4F1" w:val="clear"/>
        <w:rPr>
          <w:rFonts w:ascii="Arial" w:hAnsi="Arial" w:cs="Arial"/>
          <w:color w:val="484848"/>
        </w:rPr>
      </w:pPr>
      <w:r>
        <w:rPr>
          <w:rStyle w:val="Fa"/>
          <w:rFonts w:cs="Arial" w:ascii="inherit;Times New Roman" w:hAnsi="inherit;Times New Roman"/>
          <w:color w:val="484848"/>
        </w:rPr>
        <w:t>Thomas Laboratory, 203</w:t>
      </w:r>
    </w:p>
    <w:p>
      <w:pPr>
        <w:pStyle w:val="Normal"/>
        <w:shd w:fill="F4F4F1" w:val="clear"/>
        <w:rPr>
          <w:rStyle w:val="Fa"/>
          <w:rFonts w:ascii="Arial" w:hAnsi="Arial" w:cs="Arial"/>
          <w:color w:val="484848"/>
        </w:rPr>
      </w:pPr>
      <w:hyperlink r:id="rId11">
        <w:r>
          <w:rPr>
            <w:rStyle w:val="InternetLink"/>
            <w:rFonts w:cs="Arial" w:ascii="inherit;Times New Roman" w:hAnsi="inherit;Times New Roman"/>
            <w:color w:val="994400"/>
          </w:rPr>
          <w:t>Shenk Lab</w:t>
        </w:r>
      </w:hyperlink>
    </w:p>
    <w:p>
      <w:pPr>
        <w:pStyle w:val="Normal"/>
        <w:rPr>
          <w:rFonts w:ascii="Arial" w:hAnsi="Arial" w:cs="Arial"/>
          <w:color w:val="484848"/>
        </w:rPr>
      </w:pPr>
      <w:r>
        <w:rPr>
          <w:rFonts w:cs="Arial" w:ascii="Arial" w:hAnsi="Arial"/>
          <w:color w:val="484848"/>
        </w:rPr>
      </w:r>
    </w:p>
    <w:p>
      <w:pPr>
        <w:pStyle w:val="Normal"/>
        <w:rPr/>
      </w:pPr>
      <w:r>
        <w:rPr/>
        <w:t>Discussion:</w:t>
      </w:r>
    </w:p>
    <w:tbl>
      <w:tblPr>
        <w:tblW w:w="5000" w:type="pct"/>
        <w:jc w:val="start"/>
        <w:tblInd w:w="-67" w:type="dxa"/>
        <w:tbl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blBorders>
        <w:tblCellMar>
          <w:top w:w="15" w:type="dxa"/>
          <w:start w:w="15" w:type="dxa"/>
          <w:bottom w:w="15" w:type="dxa"/>
          <w:end w:w="15" w:type="dxa"/>
        </w:tblCellMar>
      </w:tblPr>
      <w:tblGrid>
        <w:gridCol w:w="10224"/>
      </w:tblGrid>
      <w:tr>
        <w:trPr/>
        <w:tc>
          <w:tcPr>
            <w:tcW w:w="1022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BB966C" w:val="clear"/>
            <w:vAlign w:val="center"/>
          </w:tcPr>
          <w:p>
            <w:pPr>
              <w:pStyle w:val="NormalWeb"/>
              <w:spacing w:before="0" w:after="280"/>
              <w:ind w:start="600" w:end="600" w:hanging="0"/>
              <w:rPr/>
            </w:pPr>
            <w:r>
              <w:rPr>
                <w:rFonts w:cs="Arial" w:ascii="Arial" w:hAnsi="Arial"/>
                <w:b/>
                <w:bCs/>
                <w:color w:val="00FF00"/>
                <w:sz w:val="27"/>
                <w:szCs w:val="27"/>
              </w:rPr>
              <w:drawing>
                <wp:inline distT="0" distB="0" distL="0" distR="0">
                  <wp:extent cx="4857750" cy="387604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2"/>
                          <a:srcRect l="-34" t="-43" r="-34" b="-43"/>
                          <a:stretch>
                            <a:fillRect/>
                          </a:stretch>
                        </pic:blipFill>
                        <pic:spPr bwMode="auto">
                          <a:xfrm>
                            <a:off x="0" y="0"/>
                            <a:ext cx="4857750" cy="3876040"/>
                          </a:xfrm>
                          <a:prstGeom prst="rect">
                            <a:avLst/>
                          </a:prstGeom>
                        </pic:spPr>
                      </pic:pic>
                    </a:graphicData>
                  </a:graphic>
                </wp:inline>
              </w:drawing>
            </w:r>
            <w:r>
              <w:rPr>
                <w:rFonts w:cs="Arial" w:ascii="Arial" w:hAnsi="Arial"/>
                <w:b/>
                <w:bCs/>
                <w:color w:val="00FF00"/>
                <w:sz w:val="27"/>
                <w:szCs w:val="27"/>
              </w:rPr>
              <w:br/>
            </w:r>
            <w:r>
              <w:rPr>
                <w:rFonts w:cs="Arial" w:ascii="Arial" w:hAnsi="Arial"/>
                <w:b/>
                <w:bCs/>
                <w:sz w:val="15"/>
                <w:szCs w:val="15"/>
              </w:rPr>
              <w:t> ILLUSTRATION FROM 1912 SMITHSONIAN PUBLICATION</w:t>
            </w:r>
            <w:r>
              <w:rPr>
                <w:rFonts w:cs="Arial" w:ascii="Arial" w:hAnsi="Arial"/>
                <w:b/>
                <w:bCs/>
                <w:color w:val="00FF00"/>
                <w:sz w:val="27"/>
                <w:szCs w:val="27"/>
              </w:rPr>
              <w:br/>
            </w:r>
            <w:r>
              <w:rPr>
                <w:rFonts w:cs="Arial" w:ascii="Arial" w:hAnsi="Arial"/>
                <w:b/>
                <w:bCs/>
                <w:sz w:val="36"/>
                <w:szCs w:val="36"/>
              </w:rPr>
              <w:t>BIRDSTONES</w:t>
            </w:r>
            <w:r>
              <w:rPr>
                <w:rFonts w:cs="Arial" w:ascii="Arial" w:hAnsi="Arial"/>
                <w:b/>
                <w:bCs/>
                <w:color w:val="000000"/>
                <w:sz w:val="72"/>
                <w:szCs w:val="72"/>
              </w:rPr>
              <w:br/>
            </w:r>
            <w:r>
              <w:rPr>
                <w:rFonts w:cs="Arial" w:ascii="Arial" w:hAnsi="Arial"/>
                <w:b/>
                <w:bCs/>
                <w:sz w:val="27"/>
                <w:szCs w:val="27"/>
              </w:rPr>
              <w:t>EASTERN UNITED STATES</w:t>
              <w:br/>
              <w:t>LATE ARCHAIC</w:t>
            </w:r>
          </w:p>
          <w:tbl>
            <w:tblPr>
              <w:tblW w:w="5000" w:type="pct"/>
              <w:jc w:val="start"/>
              <w:tblInd w:w="1" w:type="dxa"/>
              <w:tbl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blBorders>
              <w:tblCellMar>
                <w:top w:w="15" w:type="dxa"/>
                <w:start w:w="15" w:type="dxa"/>
                <w:bottom w:w="15" w:type="dxa"/>
                <w:end w:w="15" w:type="dxa"/>
              </w:tblCellMar>
            </w:tblPr>
            <w:tblGrid>
              <w:gridCol w:w="10194"/>
            </w:tblGrid>
            <w:tr>
              <w:trPr/>
              <w:tc>
                <w:tcPr>
                  <w:tcW w:w="1019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6FAC87" w:val="clear"/>
                  <w:vAlign w:val="center"/>
                </w:tcPr>
                <w:p>
                  <w:pPr>
                    <w:pStyle w:val="NormalWeb"/>
                    <w:spacing w:before="280" w:after="0"/>
                    <w:ind w:start="600" w:end="600" w:hanging="0"/>
                    <w:rPr>
                      <w:rFonts w:ascii="Arial" w:hAnsi="Arial" w:cs="Arial"/>
                      <w:b/>
                      <w:b/>
                      <w:bCs/>
                      <w:sz w:val="27"/>
                      <w:szCs w:val="27"/>
                    </w:rPr>
                  </w:pPr>
                  <w:r>
                    <w:rPr>
                      <w:rFonts w:cs="Arial" w:ascii="Arial" w:hAnsi="Arial"/>
                      <w:b/>
                      <w:bCs/>
                      <w:sz w:val="27"/>
                      <w:szCs w:val="27"/>
                    </w:rPr>
                    <w:t>   </w:t>
                  </w:r>
                  <w:r>
                    <w:rPr>
                      <w:rFonts w:cs="Arial" w:ascii="Arial" w:hAnsi="Arial"/>
                      <w:b/>
                      <w:bCs/>
                      <w:sz w:val="27"/>
                      <w:szCs w:val="27"/>
                    </w:rPr>
                    <w:t>These six drawings of birdstones illustrate several of the different "main" forms. The two birdstones at top represent one of the most elaborate types. Both have popeyes but one has feet and the other does not. The next two represent the most common style. One has a short body and the other is the elongated form. Notice also that one has a mouth and the other does not. One survey of 1,000 birdstones showed that 10.7% had incised mouths. The two bottom examples are the simplest forms of birdstones. The example on the left still has a recognizable head and tail but the example on the right only has two raised ridges to represent the head and tail. The one on the right is also referred to as a bar amulet.</w:t>
                    <w:br/>
                    <w:t>    Birdstones have been found in an endless variety of form. Dr. Thomas Wilson is quoted in Moorhead 1917: "The United States National Museum posses many of these specimens (birdstones). While they bear a greater resemblance to birds than anything else , yet scarcely any two of them are alike and they change in form through the whole gamut until it is difficult to determine whether it is a bird, a lizard, or a turtle, and finally the series ends in a straight bar without pretense of presenting any animal."</w:t>
                  </w:r>
                </w:p>
              </w:tc>
            </w:tr>
          </w:tbl>
          <w:p>
            <w:pPr>
              <w:pStyle w:val="Normal"/>
              <w:rPr/>
            </w:pPr>
            <w:r>
              <w:rPr/>
            </w:r>
          </w:p>
        </w:tc>
      </w:tr>
      <w:tr>
        <w:trPr/>
        <w:tc>
          <w:tcPr>
            <w:tcW w:w="1022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BB966C" w:val="clear"/>
            <w:vAlign w:val="center"/>
          </w:tcPr>
          <w:p>
            <w:pPr>
              <w:pStyle w:val="NormalWeb"/>
              <w:spacing w:before="280" w:after="0"/>
              <w:ind w:start="600" w:end="600" w:hanging="0"/>
              <w:rPr>
                <w:rFonts w:ascii="Arial" w:hAnsi="Arial" w:cs="Arial"/>
                <w:b/>
                <w:b/>
                <w:bCs/>
                <w:sz w:val="27"/>
                <w:szCs w:val="27"/>
              </w:rPr>
            </w:pPr>
            <w:r>
              <w:rPr>
                <w:rFonts w:cs="Arial" w:ascii="Arial" w:hAnsi="Arial"/>
                <w:b/>
                <w:bCs/>
                <w:sz w:val="27"/>
                <w:szCs w:val="27"/>
              </w:rPr>
              <w:t>     </w:t>
            </w:r>
            <w:r>
              <w:rPr>
                <w:rFonts w:eastAsia="Arial" w:cs="Arial" w:ascii="Arial" w:hAnsi="Arial"/>
                <w:b/>
                <w:bCs/>
                <w:sz w:val="27"/>
                <w:szCs w:val="27"/>
              </w:rPr>
              <w:t xml:space="preserve"> </w:t>
            </w:r>
            <w:r>
              <w:rPr>
                <w:rFonts w:cs="Arial" w:ascii="Arial" w:hAnsi="Arial"/>
                <w:b/>
                <w:bCs/>
                <w:sz w:val="27"/>
                <w:szCs w:val="27"/>
              </w:rPr>
              <w:t>Birdstones date from the Late Archaic to the Early Woodland periods. Only a handful of them have been found during the excavation of burials. Two bar style birdstones are reported to have been found in the head area of a single adult on the Baker II Late Archaic site in Sandusky  County, Ohio. The Baker II site dates to the terminal Late Archaic period at 2,820 years ago. A popeyed style birdstone is also reported to have been found during the excavation of an Early Woodland burial containing three individuals on the Danbury site in northern Ohio dating to around 2,500 years ago. Bust type birdstones have also been reported from Early Woodland Adena mounds. Birdstones are also associated with Glacial Kame sites.</w:t>
            </w:r>
          </w:p>
        </w:tc>
      </w:tr>
    </w:tbl>
    <w:p>
      <w:pPr>
        <w:pStyle w:val="NormalWeb"/>
        <w:shd w:fill="6FAC87" w:val="clear"/>
        <w:jc w:val="center"/>
        <w:rPr>
          <w:color w:val="000000"/>
          <w:sz w:val="27"/>
          <w:szCs w:val="27"/>
        </w:rPr>
      </w:pPr>
      <w:r>
        <w:rPr>
          <w:rFonts w:cs="Arial" w:ascii="Arial" w:hAnsi="Arial"/>
          <w:b/>
          <w:bCs/>
          <w:color w:val="0000FF"/>
          <w:sz w:val="27"/>
          <w:szCs w:val="27"/>
        </w:rPr>
        <w:drawing>
          <wp:inline distT="0" distB="0" distL="0" distR="0">
            <wp:extent cx="4857750" cy="242760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3"/>
                    <a:srcRect l="-92" t="-185" r="-92" b="-185"/>
                    <a:stretch>
                      <a:fillRect/>
                    </a:stretch>
                  </pic:blipFill>
                  <pic:spPr bwMode="auto">
                    <a:xfrm>
                      <a:off x="0" y="0"/>
                      <a:ext cx="4857750" cy="2427605"/>
                    </a:xfrm>
                    <a:prstGeom prst="rect">
                      <a:avLst/>
                    </a:prstGeom>
                  </pic:spPr>
                </pic:pic>
              </a:graphicData>
            </a:graphic>
          </wp:inline>
        </w:drawing>
      </w:r>
      <w:r>
        <w:rPr>
          <w:rFonts w:cs="Arial" w:ascii="Arial" w:hAnsi="Arial"/>
          <w:b/>
          <w:bCs/>
          <w:color w:val="00FF00"/>
          <w:sz w:val="27"/>
          <w:szCs w:val="27"/>
        </w:rPr>
        <w:br/>
      </w:r>
      <w:r>
        <w:rPr>
          <w:rFonts w:cs="Arial" w:ascii="Arial" w:hAnsi="Arial"/>
          <w:b/>
          <w:bCs/>
          <w:color w:val="000000"/>
          <w:sz w:val="36"/>
          <w:szCs w:val="36"/>
        </w:rPr>
        <w:t>FANTAIL BIRDSTONE</w:t>
        <w:br/>
      </w:r>
      <w:r>
        <w:rPr>
          <w:rFonts w:cs="Arial" w:ascii="Arial" w:hAnsi="Arial"/>
          <w:color w:val="000000"/>
          <w:sz w:val="27"/>
          <w:szCs w:val="27"/>
        </w:rPr>
        <w:t>CHITTENDEN COUNTY, VERMONT</w:t>
      </w:r>
    </w:p>
    <w:p>
      <w:pPr>
        <w:pStyle w:val="NormalWeb"/>
        <w:shd w:fill="6FAC87" w:val="clear"/>
        <w:spacing w:before="0" w:after="280"/>
        <w:ind w:start="600" w:end="600" w:hanging="0"/>
        <w:rPr>
          <w:color w:val="000000"/>
          <w:sz w:val="27"/>
          <w:szCs w:val="27"/>
        </w:rPr>
      </w:pPr>
      <w:r>
        <w:rPr>
          <w:rFonts w:cs="Arial" w:ascii="Arial" w:hAnsi="Arial"/>
          <w:b/>
          <w:bCs/>
          <w:color w:val="000000"/>
        </w:rPr>
        <w:t>    </w:t>
      </w:r>
      <w:r>
        <w:rPr>
          <w:rFonts w:cs="Arial" w:ascii="Arial" w:hAnsi="Arial"/>
          <w:b/>
          <w:bCs/>
          <w:color w:val="000000"/>
          <w:sz w:val="27"/>
          <w:szCs w:val="27"/>
        </w:rPr>
        <w:t>This fantail birdstone was found in 1846 by S. H. Baker in Chittenden County one mile north of Burlington, Vermont. This is another of the more rare and beautiful forms of birdstones. It was made from a colorful stone and its complex style includes "feet," a large rectangular head, and wide tail. It's also drilled through both "feet."  This birdstone is made of porphyry and measures 4 1/2 inches (11.4 cm) long.</w:t>
      </w:r>
    </w:p>
    <w:p>
      <w:pPr>
        <w:pStyle w:val="Normal"/>
        <w:rPr>
          <w:b/>
          <w:b/>
          <w:bCs/>
          <w:color w:val="000000"/>
          <w:sz w:val="27"/>
          <w:szCs w:val="27"/>
        </w:rPr>
      </w:pPr>
      <w:r>
        <w:rPr>
          <w:b/>
          <w:bCs/>
          <w:color w:val="000000"/>
          <w:sz w:val="27"/>
          <w:szCs w:val="27"/>
        </w:rPr>
      </w:r>
    </w:p>
    <w:p>
      <w:pPr>
        <w:pStyle w:val="Normal"/>
        <w:rPr>
          <w:b/>
          <w:b/>
          <w:bCs/>
        </w:rPr>
      </w:pPr>
      <w:r>
        <w:rPr>
          <w:b/>
          <w:bCs/>
        </w:rPr>
        <w:t>References:</w:t>
      </w:r>
    </w:p>
    <w:p>
      <w:pPr>
        <w:pStyle w:val="Normal"/>
        <w:rPr/>
      </w:pPr>
      <w:r>
        <w:rPr>
          <w:rFonts w:cs="Arial" w:ascii="Arial" w:hAnsi="Arial"/>
          <w:b/>
          <w:bCs/>
          <w:color w:val="000000"/>
          <w:shd w:fill="C4A37D" w:val="clear"/>
        </w:rPr>
        <w:t>1848</w:t>
      </w:r>
      <w:r>
        <w:rPr>
          <w:rFonts w:cs="Arial" w:ascii="Arial" w:hAnsi="Arial"/>
          <w:color w:val="000000"/>
          <w:shd w:fill="C4A37D" w:val="clear"/>
        </w:rPr>
        <w:t>, Squier, E. G. &amp; Davis, E. H., "Ornaments Of Stone, Bone, Etc.," </w:t>
      </w:r>
      <w:r>
        <w:rPr>
          <w:rFonts w:cs="Arial" w:ascii="Arial" w:hAnsi="Arial"/>
          <w:color w:val="000000"/>
          <w:u w:val="single"/>
          <w:shd w:fill="C4A37D" w:val="clear"/>
        </w:rPr>
        <w:t>Ancient Monuments Of The Mississippi Valley</w:t>
      </w:r>
      <w:r>
        <w:rPr>
          <w:rFonts w:cs="Arial" w:ascii="Arial" w:hAnsi="Arial"/>
          <w:color w:val="000000"/>
          <w:shd w:fill="C4A37D" w:val="clear"/>
        </w:rPr>
        <w:t>, p. 239.</w:t>
      </w:r>
      <w:r>
        <w:rPr>
          <w:rFonts w:cs="Arial" w:ascii="Arial" w:hAnsi="Arial"/>
          <w:b/>
          <w:bCs/>
          <w:color w:val="000000"/>
          <w:shd w:fill="C4A37D" w:val="clear"/>
        </w:rPr>
        <w:br/>
        <w:t>1896</w:t>
      </w:r>
      <w:r>
        <w:rPr>
          <w:rFonts w:cs="Arial" w:ascii="Arial" w:hAnsi="Arial"/>
          <w:color w:val="000000"/>
          <w:shd w:fill="C4A37D" w:val="clear"/>
        </w:rPr>
        <w:t>, Wilson, Thomas, "Prehistoric Art; Or The Origin Of Art As Manifested In The Works Of Prehistoric Man," </w:t>
      </w:r>
      <w:r>
        <w:rPr>
          <w:rFonts w:cs="Arial" w:ascii="Arial" w:hAnsi="Arial"/>
          <w:color w:val="000000"/>
          <w:u w:val="single"/>
          <w:shd w:fill="C4A37D" w:val="clear"/>
        </w:rPr>
        <w:t>Report Of The U.S. National Museum</w:t>
      </w:r>
      <w:r>
        <w:rPr>
          <w:rFonts w:cs="Arial" w:ascii="Arial" w:hAnsi="Arial"/>
          <w:color w:val="000000"/>
          <w:shd w:fill="C4A37D" w:val="clear"/>
        </w:rPr>
        <w:t>, p. 450.</w:t>
      </w:r>
      <w:r>
        <w:rPr>
          <w:rFonts w:cs="Arial" w:ascii="Arial" w:hAnsi="Arial"/>
          <w:b/>
          <w:bCs/>
          <w:color w:val="000000"/>
          <w:shd w:fill="C4A37D" w:val="clear"/>
        </w:rPr>
        <w:br/>
        <w:t>1898</w:t>
      </w:r>
      <w:r>
        <w:rPr>
          <w:rFonts w:cs="Arial" w:ascii="Arial" w:hAnsi="Arial"/>
          <w:color w:val="000000"/>
          <w:shd w:fill="C4A37D" w:val="clear"/>
        </w:rPr>
        <w:t>, Williams, Frederick H. M.D., "Amulets," </w:t>
      </w:r>
      <w:r>
        <w:rPr>
          <w:rFonts w:cs="Arial" w:ascii="Arial" w:hAnsi="Arial"/>
          <w:color w:val="000000"/>
          <w:u w:val="single"/>
          <w:shd w:fill="C4A37D" w:val="clear"/>
        </w:rPr>
        <w:t>The American Archaeologist</w:t>
      </w:r>
      <w:r>
        <w:rPr>
          <w:rFonts w:cs="Arial" w:ascii="Arial" w:hAnsi="Arial"/>
          <w:color w:val="000000"/>
          <w:shd w:fill="C4A37D" w:val="clear"/>
        </w:rPr>
        <w:t>, Vol. 2, No. 8, pp. 200-202.</w:t>
      </w:r>
      <w:r>
        <w:rPr>
          <w:rFonts w:cs="Arial" w:ascii="Arial" w:hAnsi="Arial"/>
          <w:b/>
          <w:bCs/>
          <w:color w:val="000000"/>
          <w:shd w:fill="C4A37D" w:val="clear"/>
        </w:rPr>
        <w:br/>
        <w:t>1912</w:t>
      </w:r>
      <w:r>
        <w:rPr>
          <w:rFonts w:cs="Arial" w:ascii="Arial" w:hAnsi="Arial"/>
          <w:color w:val="000000"/>
          <w:shd w:fill="C4A37D" w:val="clear"/>
        </w:rPr>
        <w:t>, Hodge, Frederick Webb, "Bird-Stones," </w:t>
      </w:r>
      <w:r>
        <w:rPr>
          <w:rFonts w:cs="Arial" w:ascii="Arial" w:hAnsi="Arial"/>
          <w:color w:val="000000"/>
          <w:u w:val="single"/>
          <w:shd w:fill="C4A37D" w:val="clear"/>
        </w:rPr>
        <w:t>Handbook Of American Indians North Of Mexico</w:t>
      </w:r>
      <w:r>
        <w:rPr>
          <w:rFonts w:cs="Arial" w:ascii="Arial" w:hAnsi="Arial"/>
          <w:color w:val="000000"/>
          <w:shd w:fill="C4A37D" w:val="clear"/>
        </w:rPr>
        <w:t>, pp. 148-149.</w:t>
      </w:r>
      <w:r>
        <w:rPr>
          <w:rFonts w:cs="Arial" w:ascii="Arial" w:hAnsi="Arial"/>
          <w:b/>
          <w:bCs/>
          <w:color w:val="000000"/>
          <w:shd w:fill="C4A37D" w:val="clear"/>
        </w:rPr>
        <w:br/>
        <w:t>1917</w:t>
      </w:r>
      <w:r>
        <w:rPr>
          <w:rFonts w:cs="Arial" w:ascii="Arial" w:hAnsi="Arial"/>
          <w:color w:val="000000"/>
          <w:shd w:fill="C4A37D" w:val="clear"/>
        </w:rPr>
        <w:t>, Moorhead, Warren K., "Stone Ornaments Used By Indians In The United States And Canada," p. 88.</w:t>
      </w:r>
      <w:r>
        <w:rPr>
          <w:rFonts w:cs="Arial" w:ascii="Arial" w:hAnsi="Arial"/>
          <w:b/>
          <w:bCs/>
          <w:color w:val="000000"/>
          <w:shd w:fill="C4A37D" w:val="clear"/>
        </w:rPr>
        <w:br/>
        <w:t>1959</w:t>
      </w:r>
      <w:r>
        <w:rPr>
          <w:rFonts w:cs="Arial" w:ascii="Arial" w:hAnsi="Arial"/>
          <w:color w:val="000000"/>
          <w:shd w:fill="C4A37D" w:val="clear"/>
        </w:rPr>
        <w:t>, Townsend, Earl C., "Birdstones Of The North American Indian," pp. 3</w:t>
      </w:r>
      <w:r>
        <w:rPr>
          <w:rFonts w:cs="Arial" w:ascii="Arial" w:hAnsi="Arial"/>
          <w:b/>
          <w:bCs/>
          <w:color w:val="000000"/>
          <w:shd w:fill="C4A37D" w:val="clear"/>
        </w:rPr>
        <w:t>.</w:t>
        <w:br/>
        <w:t>1975</w:t>
      </w:r>
      <w:r>
        <w:rPr>
          <w:rFonts w:cs="Arial" w:ascii="Arial" w:hAnsi="Arial"/>
          <w:color w:val="000000"/>
          <w:shd w:fill="C4A37D" w:val="clear"/>
        </w:rPr>
        <w:t>, Tiell, William W., "The Incised Mouth Birdstone," </w:t>
      </w:r>
      <w:r>
        <w:rPr>
          <w:rFonts w:cs="Arial" w:ascii="Arial" w:hAnsi="Arial"/>
          <w:color w:val="000000"/>
          <w:u w:val="single"/>
          <w:shd w:fill="C4A37D" w:val="clear"/>
        </w:rPr>
        <w:t>Ohio Archaeologist, Vol. 25, No. 3</w:t>
      </w:r>
      <w:r>
        <w:rPr>
          <w:rFonts w:cs="Arial" w:ascii="Arial" w:hAnsi="Arial"/>
          <w:color w:val="000000"/>
          <w:shd w:fill="C4A37D" w:val="clear"/>
        </w:rPr>
        <w:t>, pp. 20 -21.</w:t>
      </w:r>
      <w:r>
        <w:rPr>
          <w:rFonts w:cs="Arial" w:ascii="Arial" w:hAnsi="Arial"/>
          <w:b/>
          <w:bCs/>
          <w:color w:val="000000"/>
          <w:shd w:fill="C4A37D" w:val="clear"/>
        </w:rPr>
        <w:br/>
        <w:t>1979</w:t>
      </w:r>
      <w:r>
        <w:rPr>
          <w:rFonts w:cs="Arial" w:ascii="Arial" w:hAnsi="Arial"/>
          <w:color w:val="000000"/>
          <w:shd w:fill="C4A37D" w:val="clear"/>
        </w:rPr>
        <w:t>, Fincham, Glenval, "A Novel Explanation Of The Origin And Development Of The Birdstone," </w:t>
      </w:r>
      <w:r>
        <w:rPr>
          <w:rFonts w:cs="Arial" w:ascii="Arial" w:hAnsi="Arial"/>
          <w:color w:val="000000"/>
          <w:u w:val="single"/>
          <w:shd w:fill="C4A37D" w:val="clear"/>
        </w:rPr>
        <w:t>Ohio Archaeologist, Vo. 29, No. 4</w:t>
      </w:r>
      <w:r>
        <w:rPr>
          <w:rFonts w:cs="Arial" w:ascii="Arial" w:hAnsi="Arial"/>
          <w:color w:val="000000"/>
          <w:shd w:fill="C4A37D" w:val="clear"/>
        </w:rPr>
        <w:t>, p p. 14-15.</w:t>
      </w:r>
      <w:r>
        <w:rPr>
          <w:rFonts w:cs="Arial" w:ascii="Arial" w:hAnsi="Arial"/>
          <w:b/>
          <w:bCs/>
          <w:color w:val="000000"/>
          <w:shd w:fill="C4A37D" w:val="clear"/>
        </w:rPr>
        <w:br/>
        <w:t>1984</w:t>
      </w:r>
      <w:r>
        <w:rPr>
          <w:rFonts w:cs="Arial" w:ascii="Arial" w:hAnsi="Arial"/>
          <w:color w:val="000000"/>
          <w:shd w:fill="C4A37D" w:val="clear"/>
        </w:rPr>
        <w:t>, Illustration, "Central States Archaeological Journal, Vol. 31, No. 3" p. 135.</w:t>
      </w:r>
      <w:r>
        <w:rPr>
          <w:rFonts w:cs="Arial" w:ascii="Arial" w:hAnsi="Arial"/>
          <w:b/>
          <w:bCs/>
          <w:color w:val="000000"/>
          <w:shd w:fill="C4A37D" w:val="clear"/>
        </w:rPr>
        <w:br/>
        <w:t>1993</w:t>
      </w:r>
      <w:r>
        <w:rPr>
          <w:rFonts w:cs="Arial" w:ascii="Arial" w:hAnsi="Arial"/>
          <w:color w:val="000000"/>
          <w:shd w:fill="C4A37D" w:val="clear"/>
        </w:rPr>
        <w:t>, Zakucia, John A., "The Birdstone, An Enigma Of The Prehistoric Past," </w:t>
      </w:r>
      <w:r>
        <w:rPr>
          <w:rFonts w:cs="Arial" w:ascii="Arial" w:hAnsi="Arial"/>
          <w:color w:val="000000"/>
          <w:u w:val="single"/>
          <w:shd w:fill="C4A37D" w:val="clear"/>
        </w:rPr>
        <w:t>Ohio Archaeologist, Vol. 43, No. 1</w:t>
      </w:r>
      <w:r>
        <w:rPr>
          <w:rFonts w:cs="Arial" w:ascii="Arial" w:hAnsi="Arial"/>
          <w:color w:val="000000"/>
          <w:shd w:fill="C4A37D" w:val="clear"/>
        </w:rPr>
        <w:t>, p. 27.</w:t>
      </w:r>
      <w:r>
        <w:rPr>
          <w:rFonts w:cs="Arial" w:ascii="Arial" w:hAnsi="Arial"/>
          <w:b/>
          <w:bCs/>
          <w:color w:val="000000"/>
          <w:shd w:fill="C4A37D" w:val="clear"/>
        </w:rPr>
        <w:br/>
        <w:t>2003</w:t>
      </w:r>
      <w:r>
        <w:rPr>
          <w:rFonts w:cs="Arial" w:ascii="Arial" w:hAnsi="Arial"/>
          <w:color w:val="000000"/>
          <w:shd w:fill="C4A37D" w:val="clear"/>
        </w:rPr>
        <w:t>, Skrivanie, Oliver T., "The Fab Five," </w:t>
      </w:r>
      <w:r>
        <w:rPr>
          <w:rFonts w:cs="Arial" w:ascii="Arial" w:hAnsi="Arial"/>
          <w:color w:val="000000"/>
          <w:u w:val="single"/>
          <w:shd w:fill="C4A37D" w:val="clear"/>
        </w:rPr>
        <w:t>Prehistoric American, Vol.37, No. 2</w:t>
      </w:r>
      <w:r>
        <w:rPr>
          <w:rFonts w:cs="Arial" w:ascii="Arial" w:hAnsi="Arial"/>
          <w:color w:val="000000"/>
          <w:shd w:fill="C4A37D" w:val="clear"/>
        </w:rPr>
        <w:t>, p. 4.</w:t>
      </w:r>
      <w:r>
        <w:rPr>
          <w:rFonts w:cs="Arial" w:ascii="Arial" w:hAnsi="Arial"/>
          <w:b/>
          <w:bCs/>
          <w:color w:val="000000"/>
          <w:shd w:fill="C4A37D" w:val="clear"/>
        </w:rPr>
        <w:br/>
        <w:t>2004</w:t>
      </w:r>
      <w:r>
        <w:rPr>
          <w:rFonts w:cs="Arial" w:ascii="Arial" w:hAnsi="Arial"/>
          <w:color w:val="000000"/>
          <w:shd w:fill="C4A37D" w:val="clear"/>
        </w:rPr>
        <w:t>, Power, Susan C., "Early Art Of The Southeastern Indians Feathered Serpents &amp; Winged Beings," p. 28.</w:t>
      </w:r>
      <w:r>
        <w:rPr>
          <w:rFonts w:cs="Arial" w:ascii="Arial" w:hAnsi="Arial"/>
          <w:b/>
          <w:bCs/>
          <w:color w:val="000000"/>
          <w:shd w:fill="C4A37D" w:val="clear"/>
        </w:rPr>
        <w:br/>
        <w:t>2006</w:t>
      </w:r>
      <w:r>
        <w:rPr>
          <w:rFonts w:cs="Arial" w:ascii="Arial" w:hAnsi="Arial"/>
          <w:color w:val="000000"/>
          <w:shd w:fill="C4A37D" w:val="clear"/>
        </w:rPr>
        <w:t>, Werness, Hope B., "Bird," </w:t>
      </w:r>
      <w:r>
        <w:rPr>
          <w:rFonts w:cs="Arial" w:ascii="Arial" w:hAnsi="Arial"/>
          <w:color w:val="000000"/>
          <w:u w:val="single"/>
          <w:shd w:fill="C4A37D" w:val="clear"/>
        </w:rPr>
        <w:t>Animal Symbolism In Art</w:t>
      </w:r>
      <w:r>
        <w:rPr>
          <w:rFonts w:cs="Arial" w:ascii="Arial" w:hAnsi="Arial"/>
          <w:color w:val="000000"/>
          <w:shd w:fill="C4A37D" w:val="clear"/>
        </w:rPr>
        <w:t>, p. 44.</w:t>
      </w:r>
      <w:r>
        <w:rPr>
          <w:rFonts w:cs="Arial" w:ascii="Arial" w:hAnsi="Arial"/>
          <w:color w:val="000000"/>
        </w:rPr>
        <w:br/>
      </w:r>
      <w:r>
        <w:rPr>
          <w:rFonts w:cs="Arial" w:ascii="Arial" w:hAnsi="Arial"/>
          <w:b/>
          <w:bCs/>
          <w:color w:val="000000"/>
          <w:shd w:fill="C4A37D" w:val="clear"/>
        </w:rPr>
        <w:t>Personal Communication</w:t>
      </w:r>
      <w:r>
        <w:rPr>
          <w:rFonts w:cs="Arial" w:ascii="Arial" w:hAnsi="Arial"/>
          <w:color w:val="000000"/>
          <w:shd w:fill="C4A37D" w:val="clear"/>
        </w:rPr>
        <w:t>, Dennis Vesper.</w:t>
      </w:r>
      <w:r>
        <w:rPr>
          <w:rFonts w:cs="Arial" w:ascii="Arial" w:hAnsi="Arial"/>
          <w:color w:val="000000"/>
        </w:rPr>
        <w:br/>
      </w:r>
      <w:r>
        <w:rPr>
          <w:rFonts w:cs="Arial" w:ascii="Arial" w:hAnsi="Arial"/>
          <w:b/>
          <w:bCs/>
          <w:color w:val="000000"/>
          <w:shd w:fill="C4A37D" w:val="clear"/>
        </w:rPr>
        <w:t>Clem Caldwell Collection Pictures</w:t>
      </w:r>
      <w:r>
        <w:rPr>
          <w:rFonts w:cs="Arial" w:ascii="Arial" w:hAnsi="Arial"/>
          <w:color w:val="000000"/>
          <w:shd w:fill="C4A37D" w:val="clear"/>
        </w:rPr>
        <w:t>, Dennis Vesper.</w:t>
      </w:r>
    </w:p>
    <w:p>
      <w:pPr>
        <w:pStyle w:val="Normal"/>
        <w:rPr>
          <w:rFonts w:ascii="Arial" w:hAnsi="Arial" w:cs="Arial"/>
          <w:color w:val="000000"/>
          <w:highlight w:val="darkYellow"/>
        </w:rPr>
      </w:pPr>
      <w:r>
        <w:rPr>
          <w:rFonts w:cs="Arial" w:ascii="Arial" w:hAnsi="Arial"/>
          <w:color w:val="000000"/>
          <w:shd w:fill="C4A37D" w:val="clear"/>
        </w:rPr>
      </w:r>
    </w:p>
    <w:p>
      <w:pPr>
        <w:pStyle w:val="Normal"/>
        <w:rPr>
          <w:b/>
          <w:b/>
          <w:bCs/>
        </w:rPr>
      </w:pPr>
      <w:r>
        <w:rPr>
          <w:rFonts w:cs="Arial" w:ascii="Arial" w:hAnsi="Arial"/>
          <w:b/>
          <w:color w:val="000000"/>
          <w:highlight w:val="darkYellow"/>
        </w:rPr>
        <w:t>APPENDIX:</w:t>
      </w:r>
    </w:p>
    <w:p>
      <w:pPr>
        <w:pStyle w:val="Normal"/>
        <w:rPr/>
      </w:pPr>
      <w:hyperlink r:id="rId14" w:tgtFrame="_blank">
        <w:r>
          <w:rPr>
            <w:rStyle w:val="InternetLink"/>
          </w:rPr>
          <w:t>OHIO BANDED SLATE BIRDSTONE W/DUAL PAPERS</w:t>
        </w:r>
      </w:hyperlink>
      <w:r>
        <w:rPr/>
        <w:t xml:space="preserve"> </w:t>
      </w:r>
    </w:p>
    <w:tbl>
      <w:tblPr>
        <w:tblW w:w="3704" w:type="dxa"/>
        <w:jc w:val="start"/>
        <w:tblInd w:w="-45" w:type="dxa"/>
        <w:tblBorders/>
        <w:tblCellMar>
          <w:top w:w="15" w:type="dxa"/>
          <w:start w:w="15" w:type="dxa"/>
          <w:bottom w:w="15" w:type="dxa"/>
          <w:end w:w="15" w:type="dxa"/>
        </w:tblCellMar>
      </w:tblPr>
      <w:tblGrid>
        <w:gridCol w:w="1682"/>
        <w:gridCol w:w="66"/>
        <w:gridCol w:w="1956"/>
      </w:tblGrid>
      <w:tr>
        <w:trPr/>
        <w:tc>
          <w:tcPr>
            <w:tcW w:w="1682" w:type="dxa"/>
            <w:tcBorders/>
            <w:shd w:fill="auto" w:val="clear"/>
            <w:vAlign w:val="center"/>
          </w:tcPr>
          <w:p>
            <w:pPr>
              <w:pStyle w:val="Normal"/>
              <w:rPr/>
            </w:pPr>
            <w:r>
              <w:rPr/>
              <w:t>Item price</w:t>
            </w:r>
          </w:p>
        </w:tc>
        <w:tc>
          <w:tcPr>
            <w:tcW w:w="66" w:type="dxa"/>
            <w:tcBorders/>
            <w:shd w:fill="auto" w:val="clear"/>
          </w:tcPr>
          <w:p>
            <w:pPr>
              <w:pStyle w:val="Normal"/>
              <w:snapToGrid w:val="false"/>
              <w:rPr/>
            </w:pPr>
            <w:r>
              <w:rPr/>
            </w:r>
          </w:p>
        </w:tc>
        <w:tc>
          <w:tcPr>
            <w:tcW w:w="1956" w:type="dxa"/>
            <w:tcBorders/>
            <w:shd w:fill="auto" w:val="clear"/>
            <w:vAlign w:val="center"/>
          </w:tcPr>
          <w:p>
            <w:pPr>
              <w:pStyle w:val="Normal"/>
              <w:rPr/>
            </w:pPr>
            <w:r>
              <w:rPr/>
              <w:t>$556.00</w:t>
            </w:r>
          </w:p>
        </w:tc>
      </w:tr>
      <w:tr>
        <w:trPr/>
        <w:tc>
          <w:tcPr>
            <w:tcW w:w="1682" w:type="dxa"/>
            <w:tcBorders/>
            <w:shd w:fill="auto" w:val="clear"/>
            <w:vAlign w:val="center"/>
          </w:tcPr>
          <w:p>
            <w:pPr>
              <w:pStyle w:val="Normal"/>
              <w:rPr/>
            </w:pPr>
            <w:r>
              <w:rPr/>
              <w:t>Quantity</w:t>
            </w:r>
          </w:p>
        </w:tc>
        <w:tc>
          <w:tcPr>
            <w:tcW w:w="66" w:type="dxa"/>
            <w:tcBorders/>
            <w:shd w:fill="auto" w:val="clear"/>
          </w:tcPr>
          <w:p>
            <w:pPr>
              <w:pStyle w:val="Normal"/>
              <w:snapToGrid w:val="false"/>
              <w:rPr/>
            </w:pPr>
            <w:r>
              <w:rPr/>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66" w:type="dxa"/>
            <w:tcBorders/>
            <w:shd w:fill="auto" w:val="clear"/>
          </w:tcPr>
          <w:p>
            <w:pPr>
              <w:pStyle w:val="Normal"/>
              <w:snapToGrid w:val="false"/>
              <w:rPr/>
            </w:pPr>
            <w:r>
              <w:rPr/>
            </w:r>
          </w:p>
        </w:tc>
        <w:tc>
          <w:tcPr>
            <w:tcW w:w="1956" w:type="dxa"/>
            <w:tcBorders/>
            <w:shd w:fill="auto" w:val="clear"/>
            <w:vAlign w:val="center"/>
          </w:tcPr>
          <w:p>
            <w:pPr>
              <w:pStyle w:val="Normal"/>
              <w:rPr/>
            </w:pPr>
            <w:r>
              <w:rPr/>
              <w:t>391428024643</w:t>
            </w:r>
          </w:p>
        </w:tc>
      </w:tr>
      <w:tr>
        <w:trPr/>
        <w:tc>
          <w:tcPr>
            <w:tcW w:w="1682" w:type="dxa"/>
            <w:tcBorders/>
            <w:shd w:fill="auto" w:val="clear"/>
            <w:vAlign w:val="center"/>
          </w:tcPr>
          <w:p>
            <w:pPr>
              <w:pStyle w:val="Normal"/>
              <w:rPr/>
            </w:pPr>
            <w:r>
              <w:rPr/>
              <w:t>Shipping service</w:t>
            </w:r>
          </w:p>
        </w:tc>
        <w:tc>
          <w:tcPr>
            <w:tcW w:w="66" w:type="dxa"/>
            <w:tcBorders/>
            <w:shd w:fill="auto" w:val="clear"/>
          </w:tcPr>
          <w:p>
            <w:pPr>
              <w:pStyle w:val="Normal"/>
              <w:snapToGrid w:val="false"/>
              <w:rPr>
                <w:rStyle w:val="Ngbindingngscope"/>
              </w:rPr>
            </w:pPr>
            <w:r>
              <w:rPr/>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Heading2"/>
        <w:spacing w:before="280" w:after="280"/>
        <w:rPr/>
      </w:pPr>
      <w:r>
        <w:rPr/>
        <w:t>Valued at $6,000.00</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herit">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7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VisitedInternetLink">
    <w:name w:val="Visited Internet Link"/>
    <w:rPr>
      <w:color w:val="800080"/>
      <w:u w:val="single"/>
    </w:rPr>
  </w:style>
  <w:style w:type="character" w:styleId="InternetLink">
    <w:name w:val="Internet Link"/>
    <w:rPr>
      <w:color w:val="0000FF"/>
      <w:u w:val="single"/>
    </w:rPr>
  </w:style>
  <w:style w:type="character" w:styleId="Ngbindingngscope">
    <w:name w:val="ng-binding ng-scope"/>
    <w:basedOn w:val="DefaultParagraphFont"/>
    <w:qFormat/>
    <w:rPr/>
  </w:style>
  <w:style w:type="character" w:styleId="Ngscope">
    <w:name w:val="ng-scope"/>
    <w:basedOn w:val="DefaultParagraphFont"/>
    <w:qFormat/>
    <w:rPr/>
  </w:style>
  <w:style w:type="character" w:styleId="StrongEmphasis">
    <w:name w:val="Strong Emphasis"/>
    <w:qFormat/>
    <w:rPr>
      <w:b/>
      <w:bCs/>
    </w:rPr>
  </w:style>
  <w:style w:type="character" w:styleId="Oedjwe">
    <w:name w:val="oedjwe"/>
    <w:qFormat/>
    <w:rPr/>
  </w:style>
  <w:style w:type="character" w:styleId="Ircdsh">
    <w:name w:val="irc_dsh"/>
    <w:qFormat/>
    <w:rPr/>
  </w:style>
  <w:style w:type="character" w:styleId="Ircho">
    <w:name w:val="irc_ho"/>
    <w:qFormat/>
    <w:rPr/>
  </w:style>
  <w:style w:type="character" w:styleId="Fa">
    <w:name w:val="fa"/>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molbio.princeton.edu/people/thomas-e-shenk" TargetMode="External"/><Relationship Id="rId8" Type="http://schemas.openxmlformats.org/officeDocument/2006/relationships/hyperlink" Target="https://molbio.princeton.edu/people/thomas-e-shenk" TargetMode="External"/><Relationship Id="rId9" Type="http://schemas.openxmlformats.org/officeDocument/2006/relationships/image" Target="media/image6.png"/><Relationship Id="rId10" Type="http://schemas.openxmlformats.org/officeDocument/2006/relationships/hyperlink" Target="mailto:tshenk@princeton.edu" TargetMode="External"/><Relationship Id="rId11" Type="http://schemas.openxmlformats.org/officeDocument/2006/relationships/hyperlink" Target="https://molbio.princeton.edu/research/labs/shenk-lab" TargetMode="External"/><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www.ebay.com/itm/391428024643"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2018-10-06T10:58:00Z</dcterms:created>
  <dc:creator>owner</dc:creator>
  <dc:description/>
  <cp:keywords/>
  <dc:language>en-US</dc:language>
  <cp:lastModifiedBy>murcott</cp:lastModifiedBy>
  <dcterms:modified xsi:type="dcterms:W3CDTF">2018-10-06T11:13:00Z</dcterms:modified>
  <cp:revision>3</cp:revision>
  <dc:subject/>
  <dc:title>ARC-Birdstone-Ohio-Erie County-Cooper</dc:title>
</cp:coreProperties>
</file>