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C5" w:rsidRDefault="008168E0">
      <w:r>
        <w:t>DIS-</w:t>
      </w:r>
      <w:proofErr w:type="gramStart"/>
      <w:r>
        <w:t>AM,C</w:t>
      </w:r>
      <w:proofErr w:type="gramEnd"/>
      <w:r>
        <w:t xml:space="preserve">-Taino-Axe, Handled-and </w:t>
      </w:r>
      <w:proofErr w:type="spellStart"/>
      <w:r>
        <w:t>Petuloid</w:t>
      </w:r>
      <w:proofErr w:type="spellEnd"/>
      <w:r>
        <w:t xml:space="preserve"> Celts-Ceremonial</w:t>
      </w:r>
    </w:p>
    <w:p w:rsidR="00443AC5" w:rsidRDefault="008168E0">
      <w:r>
        <w:rPr>
          <w:noProof/>
        </w:rPr>
        <w:drawing>
          <wp:inline distT="0" distB="0" distL="0" distR="0">
            <wp:extent cx="2794635" cy="2795905"/>
            <wp:effectExtent l="0" t="0" r="0" b="0"/>
            <wp:docPr id="1" name="sc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57600" cy="2680335"/>
            <wp:effectExtent l="0" t="0" r="0" b="0"/>
            <wp:docPr id="2" name="scl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pPr>
        <w:rPr>
          <w:szCs w:val="17"/>
        </w:rPr>
      </w:pPr>
      <w:r>
        <w:rPr>
          <w:szCs w:val="17"/>
        </w:rPr>
        <w:t>Fig. 1. Greenstone Handled Axe from the Dominican Republic. Ca. 9 in. long.</w:t>
      </w:r>
    </w:p>
    <w:p w:rsidR="00443AC5" w:rsidRDefault="00443AC5">
      <w:pPr>
        <w:rPr>
          <w:szCs w:val="17"/>
        </w:rPr>
      </w:pPr>
    </w:p>
    <w:p w:rsidR="00443AC5" w:rsidRDefault="00443AC5"/>
    <w:p w:rsidR="00443AC5" w:rsidRDefault="008168E0">
      <w:r>
        <w:rPr>
          <w:noProof/>
        </w:rPr>
        <w:drawing>
          <wp:inline distT="0" distB="0" distL="0" distR="0">
            <wp:extent cx="5901690" cy="2320290"/>
            <wp:effectExtent l="0" t="0" r="0" b="0"/>
            <wp:docPr id="3" name="sc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r>
        <w:rPr>
          <w:szCs w:val="17"/>
        </w:rPr>
        <w:t xml:space="preserve">Fig. 2. </w:t>
      </w:r>
      <w:r>
        <w:t xml:space="preserve">Greenstone petaloid </w:t>
      </w:r>
      <w:proofErr w:type="spellStart"/>
      <w:r>
        <w:t>celt</w:t>
      </w:r>
      <w:proofErr w:type="spellEnd"/>
      <w:r>
        <w:t xml:space="preserve">, ca. 15 in. long. Tip Broken off and professionally repaired, From the </w:t>
      </w:r>
      <w:r>
        <w:t>Dominican Republic.</w:t>
      </w:r>
    </w:p>
    <w:p w:rsidR="00443AC5" w:rsidRDefault="008168E0">
      <w:r>
        <w:rPr>
          <w:noProof/>
        </w:rPr>
        <w:drawing>
          <wp:inline distT="0" distB="0" distL="0" distR="0">
            <wp:extent cx="5271770" cy="1845310"/>
            <wp:effectExtent l="0" t="0" r="0" b="0"/>
            <wp:docPr id="4" name="sc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r>
        <w:t xml:space="preserve">Fig. 3. Taino ceremonial petaloid </w:t>
      </w:r>
      <w:proofErr w:type="spellStart"/>
      <w:r>
        <w:t>celt</w:t>
      </w:r>
      <w:proofErr w:type="spellEnd"/>
      <w:r>
        <w:t>, ca. 12 3/16 in long. From the Dominican Republic.</w:t>
      </w:r>
    </w:p>
    <w:p w:rsidR="00443AC5" w:rsidRDefault="00443AC5">
      <w:pPr>
        <w:rPr>
          <w:szCs w:val="17"/>
        </w:rPr>
      </w:pPr>
    </w:p>
    <w:p w:rsidR="00443AC5" w:rsidRDefault="008168E0">
      <w:r>
        <w:rPr>
          <w:szCs w:val="17"/>
        </w:rPr>
        <w:t xml:space="preserve">Greenstone </w:t>
      </w:r>
      <w:r>
        <w:rPr>
          <w:szCs w:val="16"/>
        </w:rPr>
        <w:t xml:space="preserve">(crystallized mudstone) </w:t>
      </w:r>
      <w:r>
        <w:rPr>
          <w:szCs w:val="17"/>
        </w:rPr>
        <w:t xml:space="preserve">axes with handles and petaloid </w:t>
      </w:r>
      <w:proofErr w:type="spellStart"/>
      <w:r>
        <w:rPr>
          <w:szCs w:val="17"/>
        </w:rPr>
        <w:t>celts</w:t>
      </w:r>
      <w:proofErr w:type="spellEnd"/>
      <w:r>
        <w:rPr>
          <w:szCs w:val="17"/>
        </w:rPr>
        <w:t xml:space="preserve"> </w:t>
      </w:r>
      <w:r>
        <w:rPr>
          <w:szCs w:val="16"/>
        </w:rPr>
        <w:t xml:space="preserve">were </w:t>
      </w:r>
      <w:r>
        <w:rPr>
          <w:szCs w:val="15"/>
        </w:rPr>
        <w:t xml:space="preserve">produced on St. Martin from </w:t>
      </w:r>
      <w:r>
        <w:rPr>
          <w:szCs w:val="17"/>
        </w:rPr>
        <w:t xml:space="preserve">indigenous </w:t>
      </w:r>
      <w:r>
        <w:rPr>
          <w:szCs w:val="16"/>
        </w:rPr>
        <w:t>greenstone, which was worke</w:t>
      </w:r>
      <w:r>
        <w:rPr>
          <w:szCs w:val="16"/>
        </w:rPr>
        <w:t xml:space="preserve">d into tools on the Hope Estate sites. These sites have extensive lithic debris including flakes, pre-forms and nodules suitable for trading (De Waal 1999; </w:t>
      </w:r>
      <w:proofErr w:type="spellStart"/>
      <w:r>
        <w:rPr>
          <w:szCs w:val="16"/>
        </w:rPr>
        <w:t>Haviser</w:t>
      </w:r>
      <w:proofErr w:type="spellEnd"/>
      <w:r>
        <w:rPr>
          <w:szCs w:val="16"/>
        </w:rPr>
        <w:t xml:space="preserve"> 1999; Knippenberg 1999). Finished handled axes and petaloid </w:t>
      </w:r>
      <w:proofErr w:type="spellStart"/>
      <w:r>
        <w:rPr>
          <w:szCs w:val="16"/>
        </w:rPr>
        <w:t>celts</w:t>
      </w:r>
      <w:proofErr w:type="spellEnd"/>
      <w:r>
        <w:rPr>
          <w:szCs w:val="16"/>
        </w:rPr>
        <w:t xml:space="preserve"> were distributed to </w:t>
      </w:r>
      <w:r>
        <w:rPr>
          <w:szCs w:val="17"/>
        </w:rPr>
        <w:t>settle</w:t>
      </w:r>
      <w:r>
        <w:rPr>
          <w:szCs w:val="17"/>
        </w:rPr>
        <w:t xml:space="preserve">ments from Guadeloupe (Morel site) </w:t>
      </w:r>
      <w:r>
        <w:rPr>
          <w:szCs w:val="15"/>
        </w:rPr>
        <w:t xml:space="preserve">throughout </w:t>
      </w:r>
      <w:r>
        <w:rPr>
          <w:szCs w:val="16"/>
        </w:rPr>
        <w:t>the northern Lesser Antilles (</w:t>
      </w:r>
      <w:proofErr w:type="spellStart"/>
      <w:r>
        <w:rPr>
          <w:szCs w:val="22"/>
        </w:rPr>
        <w:t>Hofman</w:t>
      </w:r>
      <w:proofErr w:type="spellEnd"/>
      <w:r>
        <w:rPr>
          <w:szCs w:val="22"/>
        </w:rPr>
        <w:t xml:space="preserve"> et al., 2007: </w:t>
      </w:r>
      <w:r>
        <w:rPr>
          <w:szCs w:val="22"/>
        </w:rPr>
        <w:lastRenderedPageBreak/>
        <w:t>248-249)</w:t>
      </w:r>
      <w:r>
        <w:rPr>
          <w:szCs w:val="16"/>
        </w:rPr>
        <w:t xml:space="preserve"> to </w:t>
      </w:r>
      <w:r>
        <w:rPr>
          <w:szCs w:val="17"/>
        </w:rPr>
        <w:t xml:space="preserve">the </w:t>
      </w:r>
      <w:r>
        <w:rPr>
          <w:szCs w:val="18"/>
        </w:rPr>
        <w:t xml:space="preserve">Puerto Rico sites of La </w:t>
      </w:r>
      <w:proofErr w:type="spellStart"/>
      <w:r>
        <w:rPr>
          <w:szCs w:val="18"/>
        </w:rPr>
        <w:t>Hueca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Sorcé</w:t>
      </w:r>
      <w:proofErr w:type="spellEnd"/>
      <w:r>
        <w:rPr>
          <w:szCs w:val="18"/>
        </w:rPr>
        <w:t xml:space="preserve"> and Punta </w:t>
      </w:r>
      <w:proofErr w:type="spellStart"/>
      <w:r>
        <w:rPr>
          <w:szCs w:val="18"/>
        </w:rPr>
        <w:t>Can</w:t>
      </w:r>
      <w:r>
        <w:rPr>
          <w:szCs w:val="19"/>
        </w:rPr>
        <w:t>delero</w:t>
      </w:r>
      <w:proofErr w:type="spellEnd"/>
      <w:r>
        <w:rPr>
          <w:szCs w:val="19"/>
        </w:rPr>
        <w:t xml:space="preserve"> </w:t>
      </w:r>
      <w:r>
        <w:rPr>
          <w:szCs w:val="18"/>
        </w:rPr>
        <w:t xml:space="preserve">and to eastern Hispaniola (Dominican Republic) </w:t>
      </w:r>
      <w:r>
        <w:rPr>
          <w:szCs w:val="19"/>
        </w:rPr>
        <w:t xml:space="preserve">(Knippenberg 2004, 2006; Rodríguez </w:t>
      </w:r>
      <w:r>
        <w:rPr>
          <w:szCs w:val="16"/>
        </w:rPr>
        <w:t>Ramo</w:t>
      </w:r>
      <w:r>
        <w:rPr>
          <w:szCs w:val="16"/>
        </w:rPr>
        <w:t xml:space="preserve">s 2001) </w:t>
      </w:r>
      <w:r>
        <w:rPr>
          <w:szCs w:val="18"/>
        </w:rPr>
        <w:t xml:space="preserve">where the present greenstone examples of a handled axe and two </w:t>
      </w:r>
      <w:proofErr w:type="spellStart"/>
      <w:r>
        <w:rPr>
          <w:szCs w:val="18"/>
        </w:rPr>
        <w:t>petuloid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celts</w:t>
      </w:r>
      <w:proofErr w:type="spellEnd"/>
      <w:r>
        <w:rPr>
          <w:szCs w:val="18"/>
        </w:rPr>
        <w:t xml:space="preserve"> were found (Figs. 1-3) and to the Bahamas where a very similar </w:t>
      </w:r>
      <w:proofErr w:type="spellStart"/>
      <w:r>
        <w:rPr>
          <w:szCs w:val="18"/>
        </w:rPr>
        <w:t>celt</w:t>
      </w:r>
      <w:proofErr w:type="spellEnd"/>
      <w:r>
        <w:rPr>
          <w:szCs w:val="18"/>
        </w:rPr>
        <w:t xml:space="preserve"> was found (Goggin 1939, see Fig. 4. below). Goggin noted that the nearest source of greenstone was on </w:t>
      </w:r>
      <w:r>
        <w:rPr>
          <w:szCs w:val="18"/>
        </w:rPr>
        <w:t xml:space="preserve">the Island of Cuba but we have no information about this as being the source for the petaloid </w:t>
      </w:r>
      <w:proofErr w:type="spellStart"/>
      <w:r>
        <w:rPr>
          <w:szCs w:val="18"/>
        </w:rPr>
        <w:t>celts</w:t>
      </w:r>
      <w:proofErr w:type="spellEnd"/>
      <w:r>
        <w:rPr>
          <w:szCs w:val="18"/>
        </w:rPr>
        <w:t xml:space="preserve"> found on Andros Island or elsewhere in the Bahamas.</w:t>
      </w:r>
    </w:p>
    <w:p w:rsidR="00443AC5" w:rsidRDefault="008168E0">
      <w:r>
        <w:rPr>
          <w:noProof/>
        </w:rPr>
        <w:drawing>
          <wp:inline distT="0" distB="0" distL="0" distR="0">
            <wp:extent cx="3479800" cy="1278255"/>
            <wp:effectExtent l="0" t="0" r="0" b="0"/>
            <wp:docPr id="5" name="sc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r>
        <w:t xml:space="preserve">Fig. 4. Taino ceremonial petaloid </w:t>
      </w:r>
      <w:proofErr w:type="spellStart"/>
      <w:r>
        <w:t>celt</w:t>
      </w:r>
      <w:proofErr w:type="spellEnd"/>
      <w:r>
        <w:t>. Ca. 6.5 in long. From the Bahamas, Andros Island, Mangrove Cay</w:t>
      </w:r>
      <w:r>
        <w:t>. After Goggin 1939, Plate III, Fig. 3c.</w:t>
      </w:r>
    </w:p>
    <w:p w:rsidR="00443AC5" w:rsidRDefault="00443AC5">
      <w:pPr>
        <w:rPr>
          <w:szCs w:val="18"/>
        </w:rPr>
      </w:pPr>
    </w:p>
    <w:p w:rsidR="00443AC5" w:rsidRDefault="008168E0">
      <w:r>
        <w:rPr>
          <w:szCs w:val="16"/>
        </w:rPr>
        <w:t xml:space="preserve">  </w:t>
      </w:r>
      <w:r>
        <w:t>These highly polished artifacts were used for ceremonial purposes, as none have marks of use-wear. Since they were large, some, like these examples, being over a foot in length, were presumably intended for élite</w:t>
      </w:r>
      <w:r>
        <w:t xml:space="preserve"> consumption. They may have ritual significance as a handled axe or </w:t>
      </w:r>
      <w:proofErr w:type="spellStart"/>
      <w:r>
        <w:t>celt</w:t>
      </w:r>
      <w:proofErr w:type="spellEnd"/>
      <w:r>
        <w:t xml:space="preserve"> was used to cut mother tortoise, the </w:t>
      </w:r>
      <w:proofErr w:type="spellStart"/>
      <w:r>
        <w:t>progenitrix</w:t>
      </w:r>
      <w:proofErr w:type="spellEnd"/>
      <w:r>
        <w:t xml:space="preserve"> of humanity, from </w:t>
      </w:r>
      <w:proofErr w:type="spellStart"/>
      <w:r>
        <w:t>Deminán’s</w:t>
      </w:r>
      <w:proofErr w:type="spellEnd"/>
      <w:r>
        <w:t xml:space="preserve"> back. The distribution of highly polished handled axes and </w:t>
      </w:r>
      <w:proofErr w:type="spellStart"/>
      <w:r>
        <w:t>celts</w:t>
      </w:r>
      <w:proofErr w:type="spellEnd"/>
      <w:r>
        <w:t xml:space="preserve"> extends from Trinidad to the Bahamas (Gog</w:t>
      </w:r>
      <w:r>
        <w:t xml:space="preserve">gin 1939; </w:t>
      </w:r>
      <w:r>
        <w:rPr>
          <w:szCs w:val="22"/>
        </w:rPr>
        <w:t>Sears and Sullivan 1978: 17</w:t>
      </w:r>
      <w:r>
        <w:t xml:space="preserve">), suggesting a sophisticated system of trade and exchange of élite ceremonial objects among caciques in efforts to establish alliances or exchange of such objects as means of currency (Roberts 2014: 163). </w:t>
      </w:r>
      <w:r>
        <w:rPr>
          <w:szCs w:val="16"/>
        </w:rPr>
        <w:t>T. A. Joyce (</w:t>
      </w:r>
      <w:r>
        <w:rPr>
          <w:szCs w:val="16"/>
        </w:rPr>
        <w:t xml:space="preserve">1907: 418) has this description of one of these </w:t>
      </w:r>
      <w:proofErr w:type="gramStart"/>
      <w:r>
        <w:rPr>
          <w:szCs w:val="16"/>
        </w:rPr>
        <w:t>greenstone</w:t>
      </w:r>
      <w:proofErr w:type="gramEnd"/>
      <w:r>
        <w:rPr>
          <w:szCs w:val="16"/>
        </w:rPr>
        <w:t xml:space="preserve"> handled axes: “</w:t>
      </w:r>
      <w:r>
        <w:rPr>
          <w:szCs w:val="2"/>
        </w:rPr>
        <w:t xml:space="preserve">Finally, there is the beautiful specimen of stone carving shown on Plate LIV, 8, consisting of an entire axe and haft, carved from solid, fine-grained, pale-greenish stone, </w:t>
      </w:r>
      <w:proofErr w:type="spellStart"/>
      <w:r>
        <w:rPr>
          <w:szCs w:val="2"/>
        </w:rPr>
        <w:t>well poli</w:t>
      </w:r>
      <w:r>
        <w:rPr>
          <w:szCs w:val="2"/>
        </w:rPr>
        <w:t>shed</w:t>
      </w:r>
      <w:proofErr w:type="spellEnd"/>
      <w:r>
        <w:rPr>
          <w:szCs w:val="2"/>
        </w:rPr>
        <w:t xml:space="preserve">. The design represents a petaloid </w:t>
      </w:r>
      <w:proofErr w:type="spellStart"/>
      <w:r>
        <w:rPr>
          <w:szCs w:val="2"/>
        </w:rPr>
        <w:t>celt</w:t>
      </w:r>
      <w:proofErr w:type="spellEnd"/>
      <w:r>
        <w:rPr>
          <w:szCs w:val="2"/>
        </w:rPr>
        <w:t xml:space="preserve"> fixed in a wooden haft which is secured from splitting by a binding above and below the blade. This axe, which is 316 mm. long, was given to the British Museum in 1830 by Mr. P. L. Strachan. All the information w</w:t>
      </w:r>
      <w:r>
        <w:rPr>
          <w:szCs w:val="2"/>
        </w:rPr>
        <w:t xml:space="preserve">hich accompanied it is contained in the following </w:t>
      </w:r>
      <w:proofErr w:type="gramStart"/>
      <w:r>
        <w:rPr>
          <w:szCs w:val="2"/>
        </w:rPr>
        <w:t>words :</w:t>
      </w:r>
      <w:proofErr w:type="gramEnd"/>
      <w:r>
        <w:rPr>
          <w:szCs w:val="2"/>
        </w:rPr>
        <w:t xml:space="preserve">-‘ A curiously shaped Indian Battle Axe made of a green siliceous stone.’”  We may note that this axe was never intended to do </w:t>
      </w:r>
      <w:r>
        <w:rPr>
          <w:i/>
          <w:iCs/>
          <w:szCs w:val="2"/>
        </w:rPr>
        <w:t>physical</w:t>
      </w:r>
      <w:r>
        <w:rPr>
          <w:szCs w:val="2"/>
        </w:rPr>
        <w:t xml:space="preserve"> battle.</w:t>
      </w:r>
    </w:p>
    <w:p w:rsidR="00443AC5" w:rsidRDefault="008168E0">
      <w:r>
        <w:rPr>
          <w:noProof/>
        </w:rPr>
        <w:drawing>
          <wp:inline distT="0" distB="0" distL="0" distR="0">
            <wp:extent cx="2345690" cy="1562735"/>
            <wp:effectExtent l="0" t="0" r="0" b="0"/>
            <wp:docPr id="6" name="sc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pPr>
        <w:rPr>
          <w:szCs w:val="22"/>
        </w:rPr>
      </w:pPr>
      <w:r>
        <w:t>Fig. 5. After Joyce 1907, Plate LIV, Fig. 8, BM 30,5-</w:t>
      </w:r>
      <w:r>
        <w:t>8, 1).</w:t>
      </w:r>
    </w:p>
    <w:p w:rsidR="00443AC5" w:rsidRDefault="00443AC5">
      <w:pPr>
        <w:rPr>
          <w:szCs w:val="22"/>
        </w:rPr>
      </w:pPr>
    </w:p>
    <w:p w:rsidR="00443AC5" w:rsidRDefault="008168E0">
      <w:r>
        <w:t xml:space="preserve">References: </w:t>
      </w:r>
    </w:p>
    <w:p w:rsidR="00443AC5" w:rsidRDefault="008168E0">
      <w:r>
        <w:t xml:space="preserve">Goggin, </w:t>
      </w:r>
      <w:r>
        <w:rPr>
          <w:szCs w:val="22"/>
        </w:rPr>
        <w:t xml:space="preserve">John M. 1939. An Anthropological Reconnaissance of Andros Island, Bahamas, </w:t>
      </w:r>
      <w:r>
        <w:rPr>
          <w:i/>
          <w:iCs/>
          <w:szCs w:val="22"/>
        </w:rPr>
        <w:t>American Antiquity</w:t>
      </w:r>
      <w:r>
        <w:rPr>
          <w:szCs w:val="22"/>
        </w:rPr>
        <w:t>, Vol. 5, No. 1 (Jul.), pp. 21-26</w:t>
      </w:r>
    </w:p>
    <w:p w:rsidR="00443AC5" w:rsidRDefault="00443AC5">
      <w:pPr>
        <w:rPr>
          <w:szCs w:val="22"/>
        </w:rPr>
      </w:pPr>
    </w:p>
    <w:p w:rsidR="00443AC5" w:rsidRDefault="008168E0">
      <w:proofErr w:type="spellStart"/>
      <w:r>
        <w:rPr>
          <w:szCs w:val="22"/>
        </w:rPr>
        <w:t>Hofman</w:t>
      </w:r>
      <w:proofErr w:type="spellEnd"/>
      <w:r>
        <w:rPr>
          <w:szCs w:val="22"/>
        </w:rPr>
        <w:t xml:space="preserve">, Corinne L., Alistair J. Bright, Arie </w:t>
      </w:r>
      <w:proofErr w:type="spellStart"/>
      <w:r>
        <w:rPr>
          <w:szCs w:val="22"/>
        </w:rPr>
        <w:t>Boomert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Sebastiaan</w:t>
      </w:r>
      <w:proofErr w:type="spellEnd"/>
      <w:r>
        <w:rPr>
          <w:szCs w:val="22"/>
        </w:rPr>
        <w:t xml:space="preserve"> Knippenberg. 2007. Island Rhyth</w:t>
      </w:r>
      <w:r>
        <w:rPr>
          <w:szCs w:val="22"/>
        </w:rPr>
        <w:t xml:space="preserve">ms: The Web of Social Relationships and Interaction Networks in the Lesser Antillean Archipelago between 400 B.C. and A.D. 1492, </w:t>
      </w:r>
      <w:r>
        <w:rPr>
          <w:i/>
          <w:iCs/>
          <w:szCs w:val="22"/>
        </w:rPr>
        <w:t>Latin American Antiquity</w:t>
      </w:r>
      <w:r>
        <w:rPr>
          <w:szCs w:val="22"/>
        </w:rPr>
        <w:t>, Vol. 18, No. 3 (Sep.), pp. 243-268.</w:t>
      </w:r>
    </w:p>
    <w:p w:rsidR="00443AC5" w:rsidRDefault="00443AC5"/>
    <w:p w:rsidR="00443AC5" w:rsidRDefault="008168E0">
      <w:r>
        <w:rPr>
          <w:szCs w:val="22"/>
        </w:rPr>
        <w:t>Joyce, T. A. 1907. Prehistoric Antiquities from the Antilles, in</w:t>
      </w:r>
      <w:r>
        <w:rPr>
          <w:szCs w:val="22"/>
        </w:rPr>
        <w:t xml:space="preserve"> the British Museum, </w:t>
      </w:r>
      <w:r>
        <w:rPr>
          <w:i/>
          <w:iCs/>
          <w:szCs w:val="22"/>
        </w:rPr>
        <w:t>The Journal of the Royal Anthropological Institute of Great Britain and Ireland</w:t>
      </w:r>
      <w:r>
        <w:rPr>
          <w:szCs w:val="22"/>
        </w:rPr>
        <w:t>, Vol. 37 (Jul. - Dec.,), pp. 402-419</w:t>
      </w:r>
    </w:p>
    <w:p w:rsidR="00443AC5" w:rsidRDefault="00443AC5">
      <w:pPr>
        <w:rPr>
          <w:szCs w:val="19"/>
        </w:rPr>
      </w:pPr>
    </w:p>
    <w:p w:rsidR="00443AC5" w:rsidRDefault="008168E0">
      <w:r>
        <w:rPr>
          <w:szCs w:val="19"/>
        </w:rPr>
        <w:lastRenderedPageBreak/>
        <w:t xml:space="preserve">Knippenberg, Sebastian. 2004. </w:t>
      </w:r>
      <w:r>
        <w:rPr>
          <w:szCs w:val="13"/>
        </w:rPr>
        <w:t xml:space="preserve">Distribution and Exchange of Lithic Materials: Three pointers and Axes from St. Martin. In </w:t>
      </w:r>
      <w:r>
        <w:rPr>
          <w:i/>
          <w:iCs/>
          <w:szCs w:val="13"/>
        </w:rPr>
        <w:t xml:space="preserve">Late Ceramic Age </w:t>
      </w:r>
      <w:r>
        <w:rPr>
          <w:i/>
          <w:iCs/>
          <w:szCs w:val="14"/>
        </w:rPr>
        <w:t>Societies in the Eastern Caribbean</w:t>
      </w:r>
      <w:r>
        <w:rPr>
          <w:szCs w:val="14"/>
        </w:rPr>
        <w:t xml:space="preserve">, edited by Andre </w:t>
      </w:r>
      <w:proofErr w:type="spellStart"/>
      <w:r>
        <w:rPr>
          <w:szCs w:val="14"/>
        </w:rPr>
        <w:t>Delpuech</w:t>
      </w:r>
      <w:proofErr w:type="spellEnd"/>
      <w:r>
        <w:rPr>
          <w:szCs w:val="14"/>
        </w:rPr>
        <w:t xml:space="preserve"> and Corinne L. </w:t>
      </w:r>
      <w:proofErr w:type="spellStart"/>
      <w:r>
        <w:rPr>
          <w:szCs w:val="14"/>
        </w:rPr>
        <w:t>Hofman</w:t>
      </w:r>
      <w:proofErr w:type="spellEnd"/>
      <w:r>
        <w:rPr>
          <w:szCs w:val="14"/>
        </w:rPr>
        <w:t xml:space="preserve">, pp. 121-138. BAR </w:t>
      </w:r>
      <w:r>
        <w:rPr>
          <w:szCs w:val="12"/>
        </w:rPr>
        <w:t>International Series 1273. Oxford: British Arch</w:t>
      </w:r>
      <w:r>
        <w:rPr>
          <w:szCs w:val="12"/>
        </w:rPr>
        <w:t>aeological Reports</w:t>
      </w:r>
      <w:r>
        <w:rPr>
          <w:szCs w:val="15"/>
        </w:rPr>
        <w:t xml:space="preserve">. </w:t>
      </w:r>
      <w:r>
        <w:rPr>
          <w:szCs w:val="19"/>
        </w:rPr>
        <w:t xml:space="preserve"> </w:t>
      </w:r>
    </w:p>
    <w:p w:rsidR="00443AC5" w:rsidRDefault="00443AC5">
      <w:pPr>
        <w:rPr>
          <w:szCs w:val="19"/>
        </w:rPr>
      </w:pPr>
    </w:p>
    <w:p w:rsidR="00443AC5" w:rsidRDefault="008168E0">
      <w:r>
        <w:rPr>
          <w:szCs w:val="19"/>
        </w:rPr>
        <w:t xml:space="preserve">Knippenberg, Sebastian. 2006. </w:t>
      </w:r>
      <w:r>
        <w:rPr>
          <w:szCs w:val="13"/>
        </w:rPr>
        <w:t xml:space="preserve">Stone Artefact Production and Exchange Among the Northern Lesser Antilles. Unpublished Ph.D. dissertation, Faculty of Archaeology, Leiden University, Leiden. </w:t>
      </w:r>
      <w:r>
        <w:rPr>
          <w:szCs w:val="19"/>
        </w:rPr>
        <w:t xml:space="preserve"> </w:t>
      </w:r>
    </w:p>
    <w:p w:rsidR="00443AC5" w:rsidRDefault="00443AC5">
      <w:pPr>
        <w:rPr>
          <w:b/>
          <w:bCs/>
          <w:szCs w:val="19"/>
        </w:rPr>
      </w:pPr>
    </w:p>
    <w:p w:rsidR="00443AC5" w:rsidRDefault="008168E0">
      <w:pPr>
        <w:rPr>
          <w:szCs w:val="19"/>
        </w:rPr>
      </w:pPr>
      <w:r>
        <w:t xml:space="preserve">Roberts, Larry. 2014. </w:t>
      </w:r>
      <w:r>
        <w:rPr>
          <w:i/>
          <w:iCs/>
        </w:rPr>
        <w:t>Taino Sculpture: art of the gods</w:t>
      </w:r>
      <w:r>
        <w:t xml:space="preserve"> (Micanopy, Florida: Signature Book Printing)</w:t>
      </w:r>
    </w:p>
    <w:p w:rsidR="00443AC5" w:rsidRDefault="00443AC5">
      <w:pPr>
        <w:rPr>
          <w:szCs w:val="19"/>
        </w:rPr>
      </w:pPr>
    </w:p>
    <w:p w:rsidR="00443AC5" w:rsidRDefault="008168E0">
      <w:pPr>
        <w:rPr>
          <w:szCs w:val="22"/>
        </w:rPr>
      </w:pPr>
      <w:r>
        <w:rPr>
          <w:szCs w:val="19"/>
        </w:rPr>
        <w:t xml:space="preserve">Rodríguez </w:t>
      </w:r>
      <w:r>
        <w:rPr>
          <w:szCs w:val="16"/>
        </w:rPr>
        <w:t xml:space="preserve">Ramos, </w:t>
      </w:r>
      <w:proofErr w:type="spellStart"/>
      <w:r>
        <w:rPr>
          <w:szCs w:val="16"/>
        </w:rPr>
        <w:t>Reniel</w:t>
      </w:r>
      <w:proofErr w:type="spellEnd"/>
      <w:r>
        <w:rPr>
          <w:szCs w:val="16"/>
        </w:rPr>
        <w:t xml:space="preserve">. 2001. </w:t>
      </w:r>
      <w:r>
        <w:rPr>
          <w:szCs w:val="13"/>
        </w:rPr>
        <w:t xml:space="preserve">Lithic Reduction Trajectories at La </w:t>
      </w:r>
      <w:proofErr w:type="spellStart"/>
      <w:r>
        <w:rPr>
          <w:szCs w:val="13"/>
        </w:rPr>
        <w:t>Hueca</w:t>
      </w:r>
      <w:proofErr w:type="spellEnd"/>
      <w:r>
        <w:rPr>
          <w:szCs w:val="13"/>
        </w:rPr>
        <w:t xml:space="preserve"> and Punta </w:t>
      </w:r>
      <w:proofErr w:type="spellStart"/>
      <w:r>
        <w:rPr>
          <w:szCs w:val="13"/>
        </w:rPr>
        <w:t>Candelero</w:t>
      </w:r>
      <w:proofErr w:type="spellEnd"/>
      <w:r>
        <w:rPr>
          <w:szCs w:val="13"/>
        </w:rPr>
        <w:t xml:space="preserve"> Sites, Puerto Rico. Unpublished Master's Thesis, Texas A&amp;M Uni</w:t>
      </w:r>
      <w:r>
        <w:rPr>
          <w:szCs w:val="13"/>
        </w:rPr>
        <w:t xml:space="preserve">versity, College Station. </w:t>
      </w:r>
      <w:r>
        <w:rPr>
          <w:szCs w:val="16"/>
        </w:rPr>
        <w:t xml:space="preserve">  </w:t>
      </w:r>
    </w:p>
    <w:p w:rsidR="00443AC5" w:rsidRDefault="00443AC5">
      <w:pPr>
        <w:rPr>
          <w:szCs w:val="22"/>
        </w:rPr>
      </w:pPr>
    </w:p>
    <w:p w:rsidR="00443AC5" w:rsidRDefault="008168E0">
      <w:r>
        <w:rPr>
          <w:szCs w:val="22"/>
        </w:rPr>
        <w:t xml:space="preserve">Sears, William H.  and Shaun O. Sullivan. 1978. Bahamas Prehistory, </w:t>
      </w:r>
      <w:r>
        <w:rPr>
          <w:i/>
          <w:iCs/>
          <w:szCs w:val="22"/>
        </w:rPr>
        <w:t>American Antiquity</w:t>
      </w:r>
      <w:r>
        <w:rPr>
          <w:szCs w:val="22"/>
        </w:rPr>
        <w:t>, Vol. 43, No. 1 (Jan.,), pp. 3-25</w:t>
      </w:r>
      <w:r>
        <w:br w:type="page"/>
      </w:r>
    </w:p>
    <w:p w:rsidR="00443AC5" w:rsidRDefault="00443AC5"/>
    <w:p w:rsidR="00443AC5" w:rsidRDefault="00443AC5"/>
    <w:p w:rsidR="00443AC5" w:rsidRDefault="008168E0">
      <w:r>
        <w:rPr>
          <w:noProof/>
        </w:rPr>
        <w:drawing>
          <wp:inline distT="0" distB="0" distL="0" distR="0">
            <wp:extent cx="4910455" cy="3689985"/>
            <wp:effectExtent l="0" t="0" r="0" b="0"/>
            <wp:docPr id="7" name="viEnlargeImgLayer_img_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nlargeImgLayer_img_ct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pPr>
        <w:pStyle w:val="Heading1"/>
        <w:rPr>
          <w:sz w:val="24"/>
        </w:rPr>
      </w:pPr>
      <w:r>
        <w:rPr>
          <w:sz w:val="24"/>
        </w:rPr>
        <w:t>Order details</w:t>
      </w:r>
    </w:p>
    <w:p w:rsidR="00443AC5" w:rsidRDefault="008168E0">
      <w:pPr>
        <w:pStyle w:val="Heading2"/>
        <w:rPr>
          <w:sz w:val="24"/>
        </w:rPr>
      </w:pPr>
      <w:r>
        <w:rPr>
          <w:sz w:val="24"/>
        </w:rPr>
        <w:t>Sales order</w:t>
      </w:r>
    </w:p>
    <w:p w:rsidR="00443AC5" w:rsidRDefault="008168E0">
      <w:r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jeanpier_360</w:t>
        </w:r>
      </w:hyperlink>
      <w:r>
        <w:t xml:space="preserve"> ( </w:t>
      </w:r>
      <w:hyperlink r:id="rId13" w:tgtFrame="_blank">
        <w:r>
          <w:rPr>
            <w:rStyle w:val="InternetLink"/>
          </w:rPr>
          <w:t>94</w:t>
        </w:r>
      </w:hyperlink>
      <w:r>
        <w:t xml:space="preserve"> ) </w:t>
      </w:r>
    </w:p>
    <w:p w:rsidR="00443AC5" w:rsidRDefault="008168E0">
      <w:pPr>
        <w:pStyle w:val="Heading3"/>
        <w:rPr>
          <w:sz w:val="24"/>
        </w:rPr>
      </w:pPr>
      <w:r>
        <w:rPr>
          <w:sz w:val="24"/>
        </w:rPr>
        <w:t xml:space="preserve">Delivery package 1 of 1 </w:t>
      </w:r>
    </w:p>
    <w:p w:rsidR="00443AC5" w:rsidRDefault="008168E0">
      <w:r>
        <w:rPr>
          <w:rStyle w:val="ng-bindingng-scope"/>
        </w:rPr>
        <w:t xml:space="preserve">Estimated delivery </w:t>
      </w:r>
      <w:r>
        <w:rPr>
          <w:rStyle w:val="StrongEmphasis"/>
        </w:rPr>
        <w:t>Tuesday, Dec 22, 2015</w:t>
      </w:r>
      <w:r>
        <w:rPr>
          <w:rStyle w:val="ng-bindingng-scope"/>
        </w:rPr>
        <w:t xml:space="preserve"> </w:t>
      </w:r>
      <w:r>
        <w:rPr>
          <w:rStyle w:val="StrongEmphasis"/>
        </w:rPr>
        <w:t>- Saturday, Dec 26, 2015</w:t>
      </w:r>
      <w:r>
        <w:rPr>
          <w:rStyle w:val="ng-bindingng-scope"/>
        </w:rPr>
        <w:t xml:space="preserve"> </w:t>
      </w:r>
    </w:p>
    <w:p w:rsidR="00443AC5" w:rsidRDefault="008168E0"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8" name="262188331717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2188331717_item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C5" w:rsidRDefault="008168E0">
      <w:pPr>
        <w:pStyle w:val="Heading4"/>
        <w:spacing w:line="360" w:lineRule="atLeast"/>
        <w:ind w:left="90"/>
      </w:pPr>
      <w:hyperlink r:id="rId15" w:tgtFrame="_blank">
        <w:r>
          <w:rPr>
            <w:rStyle w:val="InternetLink"/>
          </w:rPr>
          <w:t>TAINO PRE- COLUMBIAN STONE AXE</w:t>
        </w:r>
      </w:hyperlink>
      <w:r>
        <w:t xml:space="preserve"> </w:t>
      </w:r>
    </w:p>
    <w:tbl>
      <w:tblPr>
        <w:tblW w:w="3698" w:type="dxa"/>
        <w:tblInd w:w="-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2"/>
        <w:gridCol w:w="1986"/>
      </w:tblGrid>
      <w:tr w:rsidR="00443AC5">
        <w:tc>
          <w:tcPr>
            <w:tcW w:w="1712" w:type="dxa"/>
            <w:shd w:val="clear" w:color="auto" w:fill="auto"/>
            <w:vAlign w:val="center"/>
          </w:tcPr>
          <w:p w:rsidR="00443AC5" w:rsidRDefault="008168E0">
            <w:r>
              <w:lastRenderedPageBreak/>
              <w:t>Item price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43AC5" w:rsidRDefault="008168E0">
            <w:r>
              <w:t>$299.00</w:t>
            </w:r>
          </w:p>
        </w:tc>
      </w:tr>
      <w:tr w:rsidR="00443AC5">
        <w:tc>
          <w:tcPr>
            <w:tcW w:w="1712" w:type="dxa"/>
            <w:shd w:val="clear" w:color="auto" w:fill="auto"/>
            <w:vAlign w:val="center"/>
          </w:tcPr>
          <w:p w:rsidR="00443AC5" w:rsidRDefault="008168E0">
            <w:r>
              <w:t>Quantity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43AC5" w:rsidRDefault="008168E0">
            <w:r>
              <w:t>1</w:t>
            </w:r>
          </w:p>
        </w:tc>
      </w:tr>
      <w:tr w:rsidR="00443AC5">
        <w:tc>
          <w:tcPr>
            <w:tcW w:w="1712" w:type="dxa"/>
            <w:shd w:val="clear" w:color="auto" w:fill="auto"/>
            <w:vAlign w:val="center"/>
          </w:tcPr>
          <w:p w:rsidR="00443AC5" w:rsidRDefault="008168E0">
            <w:r>
              <w:t>Item number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43AC5" w:rsidRDefault="008168E0">
            <w:r>
              <w:t>262188331717</w:t>
            </w:r>
          </w:p>
        </w:tc>
      </w:tr>
      <w:tr w:rsidR="00443AC5">
        <w:tc>
          <w:tcPr>
            <w:tcW w:w="1712" w:type="dxa"/>
            <w:shd w:val="clear" w:color="auto" w:fill="auto"/>
            <w:vAlign w:val="center"/>
          </w:tcPr>
          <w:p w:rsidR="00443AC5" w:rsidRDefault="008168E0">
            <w:r>
              <w:t>Shipping service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43AC5" w:rsidRDefault="008168E0">
            <w:r>
              <w:rPr>
                <w:rStyle w:val="ng-bindingng-scope"/>
              </w:rPr>
              <w:t>USPS Priority Mail</w:t>
            </w:r>
            <w:r>
              <w:rPr>
                <w:rStyle w:val="ng-scope"/>
              </w:rPr>
              <w:t xml:space="preserve"> </w:t>
            </w:r>
          </w:p>
        </w:tc>
      </w:tr>
    </w:tbl>
    <w:p w:rsidR="00443AC5" w:rsidRDefault="00443AC5">
      <w:bookmarkStart w:id="0" w:name="_GoBack"/>
      <w:bookmarkEnd w:id="0"/>
    </w:p>
    <w:sectPr w:rsidR="00443AC5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C2A"/>
    <w:multiLevelType w:val="multilevel"/>
    <w:tmpl w:val="2F94A0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AC5"/>
    <w:rsid w:val="00443AC5"/>
    <w:rsid w:val="0081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E1FE"/>
  <w15:docId w15:val="{24E213B4-3A69-5B4F-9EAD-EA554896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ordertotalcostng-binding">
    <w:name w:val="ordertotalcos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feedback.ebay.com/ws/eBayISAPI.dll?ViewFeedback&amp;userid=jeanpier_3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myworld.ebay.com/jeanpier_3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ebay.com/itm/262188331717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2019-06-10T18:34:00Z</dcterms:created>
  <dcterms:modified xsi:type="dcterms:W3CDTF">2019-06-10T23:07:00Z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2015-12-19T13:54:00Z</dcterms:created>
  <dc:creator>owner</dc:creator>
  <dc:description/>
  <dc:language>en-US</dc:language>
  <cp:lastModifiedBy>owner</cp:lastModifiedBy>
  <dcterms:modified xsi:type="dcterms:W3CDTF">2016-03-05T00:18:00Z</dcterms:modified>
  <cp:revision>4</cp:revision>
  <dc:subject/>
  <dc:title>DIS-AM,C-Taino-Axe-Ceremonial</dc:title>
</cp:coreProperties>
</file>