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FC3C72">
      <w:bookmarkStart w:id="0" w:name="_GoBack"/>
      <w:r>
        <w:t>Case 2-</w:t>
      </w:r>
      <w:r w:rsidR="002E150F">
        <w:t>A</w:t>
      </w:r>
      <w:r w:rsidR="00B4235B">
        <w:t>2056</w:t>
      </w:r>
      <w:r w:rsidR="002E150F">
        <w:t>-Egy-</w:t>
      </w:r>
      <w:r w:rsidR="00B4235B">
        <w:t>Karnak</w:t>
      </w:r>
      <w:r w:rsidR="003C461D">
        <w:t>-</w:t>
      </w:r>
      <w:r w:rsidR="002E150F">
        <w:t>Akenaten</w:t>
      </w:r>
      <w:r w:rsidR="003C461D">
        <w:t>-Head-Terracotta-</w:t>
      </w:r>
      <w:r w:rsidR="00A319C0">
        <w:t>Karnak-</w:t>
      </w:r>
      <w:r w:rsidR="003C461D">
        <w:t>ca 1336 BCE</w:t>
      </w:r>
    </w:p>
    <w:bookmarkEnd w:id="0"/>
    <w:p w:rsidR="002E150F" w:rsidRDefault="002E150F">
      <w:r>
        <w:rPr>
          <w:noProof/>
        </w:rPr>
        <w:drawing>
          <wp:inline distT="0" distB="0" distL="0" distR="0" wp14:anchorId="08A507CD" wp14:editId="5E589D48">
            <wp:extent cx="2409825" cy="3752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09825" cy="3752850"/>
                    </a:xfrm>
                    <a:prstGeom prst="rect">
                      <a:avLst/>
                    </a:prstGeom>
                  </pic:spPr>
                </pic:pic>
              </a:graphicData>
            </a:graphic>
          </wp:inline>
        </w:drawing>
      </w:r>
      <w:r w:rsidRPr="002E150F">
        <w:rPr>
          <w:noProof/>
        </w:rPr>
        <w:t xml:space="preserve"> </w:t>
      </w:r>
      <w:r>
        <w:rPr>
          <w:noProof/>
        </w:rPr>
        <w:drawing>
          <wp:inline distT="0" distB="0" distL="0" distR="0" wp14:anchorId="689AEE88" wp14:editId="1166A938">
            <wp:extent cx="2219325" cy="3790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325" cy="3790950"/>
                    </a:xfrm>
                    <a:prstGeom prst="rect">
                      <a:avLst/>
                    </a:prstGeom>
                  </pic:spPr>
                </pic:pic>
              </a:graphicData>
            </a:graphic>
          </wp:inline>
        </w:drawing>
      </w:r>
    </w:p>
    <w:p w:rsidR="002E150F" w:rsidRDefault="002E150F" w:rsidP="00A319C0">
      <w:pPr>
        <w:spacing w:after="0"/>
        <w:rPr>
          <w:rStyle w:val="Strong"/>
        </w:rPr>
      </w:pPr>
      <w:r>
        <w:rPr>
          <w:rStyle w:val="Strong"/>
        </w:rPr>
        <w:t>Case no.:</w:t>
      </w:r>
      <w:r w:rsidR="00B4235B">
        <w:rPr>
          <w:rStyle w:val="Strong"/>
        </w:rPr>
        <w:t xml:space="preserve"> 2</w:t>
      </w:r>
    </w:p>
    <w:p w:rsidR="002E150F" w:rsidRDefault="002E150F" w:rsidP="00A319C0">
      <w:pPr>
        <w:spacing w:after="0"/>
        <w:rPr>
          <w:rStyle w:val="Strong"/>
        </w:rPr>
      </w:pPr>
      <w:r>
        <w:rPr>
          <w:rStyle w:val="Strong"/>
        </w:rPr>
        <w:t>Accession Number:</w:t>
      </w:r>
      <w:r w:rsidR="00B4235B">
        <w:rPr>
          <w:rStyle w:val="Strong"/>
        </w:rPr>
        <w:t xml:space="preserve"> A2056</w:t>
      </w:r>
    </w:p>
    <w:p w:rsidR="002E150F" w:rsidRDefault="002E150F" w:rsidP="00A319C0">
      <w:pPr>
        <w:spacing w:after="0"/>
        <w:rPr>
          <w:rStyle w:val="Strong"/>
        </w:rPr>
      </w:pPr>
      <w:r>
        <w:rPr>
          <w:rStyle w:val="Strong"/>
        </w:rPr>
        <w:t>Formal Label:</w:t>
      </w:r>
    </w:p>
    <w:p w:rsidR="002E150F" w:rsidRDefault="002E150F" w:rsidP="00A319C0">
      <w:pPr>
        <w:spacing w:after="0"/>
        <w:rPr>
          <w:b/>
          <w:bCs/>
        </w:rPr>
      </w:pPr>
      <w:r w:rsidRPr="00ED4BF3">
        <w:rPr>
          <w:b/>
          <w:bCs/>
        </w:rPr>
        <w:t>Display Description:</w:t>
      </w:r>
      <w:r w:rsidRPr="00464E71">
        <w:rPr>
          <w:b/>
          <w:bCs/>
        </w:rPr>
        <w:t xml:space="preserve"> </w:t>
      </w:r>
    </w:p>
    <w:p w:rsidR="00A319C0" w:rsidRDefault="00622C65" w:rsidP="00A319C0">
      <w:pPr>
        <w:pStyle w:val="NormalWeb"/>
        <w:spacing w:before="0" w:beforeAutospacing="0" w:after="0" w:afterAutospacing="0"/>
      </w:pPr>
      <w:proofErr w:type="gramStart"/>
      <w:r w:rsidRPr="00A319C0">
        <w:rPr>
          <w:bCs/>
        </w:rPr>
        <w:t>Akhenaten</w:t>
      </w:r>
      <w:r w:rsidRPr="00A319C0">
        <w:t xml:space="preserve">  (</w:t>
      </w:r>
      <w:proofErr w:type="gramEnd"/>
      <w:r w:rsidRPr="00A319C0">
        <w:rPr>
          <w:bCs/>
        </w:rPr>
        <w:t>Akhenaton</w:t>
      </w:r>
      <w:r>
        <w:t xml:space="preserve"> "Effective for Aten"), known before the fifth year of his reign as </w:t>
      </w:r>
      <w:r w:rsidRPr="00A319C0">
        <w:rPr>
          <w:bCs/>
        </w:rPr>
        <w:t>Amenhotep IV</w:t>
      </w:r>
      <w:r>
        <w:t xml:space="preserve"> (</w:t>
      </w:r>
      <w:r w:rsidR="00FE543A">
        <w:t xml:space="preserve">in Greek: </w:t>
      </w:r>
      <w:proofErr w:type="spellStart"/>
      <w:r>
        <w:rPr>
          <w:i/>
          <w:iCs/>
        </w:rPr>
        <w:t>Amenophis</w:t>
      </w:r>
      <w:proofErr w:type="spellEnd"/>
      <w:r>
        <w:rPr>
          <w:i/>
          <w:iCs/>
        </w:rPr>
        <w:t xml:space="preserve"> IV</w:t>
      </w:r>
      <w:r w:rsidR="00FE543A">
        <w:t xml:space="preserve"> </w:t>
      </w:r>
      <w:r>
        <w:t>meaning "</w:t>
      </w:r>
      <w:proofErr w:type="spellStart"/>
      <w:r w:rsidRPr="00A319C0">
        <w:t>Amun</w:t>
      </w:r>
      <w:proofErr w:type="spellEnd"/>
      <w:r>
        <w:t xml:space="preserve"> Is Satisfied"), was </w:t>
      </w:r>
      <w:r w:rsidR="00FE543A">
        <w:t>a pharaoh</w:t>
      </w:r>
      <w:r>
        <w:t xml:space="preserve"> of the </w:t>
      </w:r>
      <w:r w:rsidRPr="00FE543A">
        <w:t>18th Dynasty</w:t>
      </w:r>
      <w:r>
        <w:t xml:space="preserve"> who ruled for 17 years </w:t>
      </w:r>
      <w:r w:rsidR="00A319C0">
        <w:t>1319-</w:t>
      </w:r>
      <w:r>
        <w:t xml:space="preserve">1336 BCE or </w:t>
      </w:r>
      <w:r w:rsidR="00A319C0">
        <w:t>1317-</w:t>
      </w:r>
      <w:r>
        <w:t xml:space="preserve">1334 BCE. </w:t>
      </w:r>
      <w:r w:rsidR="00FE543A">
        <w:t>The 18</w:t>
      </w:r>
      <w:r w:rsidR="00FE543A" w:rsidRPr="00FE543A">
        <w:rPr>
          <w:vertAlign w:val="superscript"/>
        </w:rPr>
        <w:t>th</w:t>
      </w:r>
      <w:r w:rsidR="00FE543A">
        <w:t xml:space="preserve"> Dynasty was recovering from the hegemony of the Hyksos during the second Intermediate Period so the time was ripe for a reinvigorated approach to Egyptian power. </w:t>
      </w:r>
    </w:p>
    <w:p w:rsidR="00B4235B" w:rsidRDefault="00FE543A" w:rsidP="00A319C0">
      <w:pPr>
        <w:pStyle w:val="NormalWeb"/>
        <w:spacing w:before="0" w:beforeAutospacing="0" w:after="0" w:afterAutospacing="0"/>
        <w:ind w:firstLine="720"/>
        <w:rPr>
          <w:bCs/>
        </w:rPr>
      </w:pPr>
      <w:r>
        <w:t xml:space="preserve">In this quest </w:t>
      </w:r>
      <w:r w:rsidRPr="00BD6C50">
        <w:rPr>
          <w:bCs/>
        </w:rPr>
        <w:t>Akhenaten</w:t>
      </w:r>
      <w:r w:rsidR="00622C65">
        <w:t xml:space="preserve"> abandon</w:t>
      </w:r>
      <w:r>
        <w:t>ed</w:t>
      </w:r>
      <w:r w:rsidR="00622C65">
        <w:t xml:space="preserve"> </w:t>
      </w:r>
      <w:r>
        <w:t xml:space="preserve">traditional </w:t>
      </w:r>
      <w:r w:rsidR="00622C65">
        <w:t xml:space="preserve">Egyptian </w:t>
      </w:r>
      <w:r w:rsidR="00622C65" w:rsidRPr="00622C65">
        <w:t>polytheism</w:t>
      </w:r>
      <w:r w:rsidR="00622C65">
        <w:t xml:space="preserve"> and </w:t>
      </w:r>
      <w:r>
        <w:t>substituted</w:t>
      </w:r>
      <w:r w:rsidR="00622C65">
        <w:t xml:space="preserve"> worship centered on the </w:t>
      </w:r>
      <w:r>
        <w:t xml:space="preserve">solar deity </w:t>
      </w:r>
      <w:r w:rsidR="00622C65" w:rsidRPr="00622C65">
        <w:t>Aten</w:t>
      </w:r>
      <w:r w:rsidR="00622C65">
        <w:t xml:space="preserve">, </w:t>
      </w:r>
      <w:r>
        <w:t xml:space="preserve">which he likened to </w:t>
      </w:r>
      <w:r w:rsidR="00622C65">
        <w:t xml:space="preserve">the </w:t>
      </w:r>
      <w:r w:rsidR="00BD6C50">
        <w:t>S</w:t>
      </w:r>
      <w:r w:rsidR="00622C65">
        <w:t>un as compared to stars</w:t>
      </w:r>
      <w:r>
        <w:t xml:space="preserve"> that he believed received their light from it and </w:t>
      </w:r>
      <w:r w:rsidR="00BD6C50">
        <w:t xml:space="preserve">he </w:t>
      </w:r>
      <w:r>
        <w:t xml:space="preserve">likened the stars to the traditional gods. </w:t>
      </w:r>
      <w:r w:rsidR="00BD6C50">
        <w:t>Thus, he was to develop a centralized religion in which the revenues and powers of the priests who derived their powers from the stars would be subsumed in a centralized hierarchy dedicated to one overarching deity, Aten, who derived his powers from the single celestial orb, the Sun.</w:t>
      </w:r>
      <w:r w:rsidR="00D57E3E">
        <w:t xml:space="preserve"> </w:t>
      </w:r>
      <w:r w:rsidR="00E5645C">
        <w:t>This theological shift</w:t>
      </w:r>
      <w:r>
        <w:t xml:space="preserve">, while intended to reinvigorate </w:t>
      </w:r>
      <w:r w:rsidR="00E5645C">
        <w:t xml:space="preserve">the </w:t>
      </w:r>
      <w:r>
        <w:t xml:space="preserve">Egyptian </w:t>
      </w:r>
      <w:r w:rsidR="00E5645C">
        <w:t>sense of lost influence,</w:t>
      </w:r>
      <w:r>
        <w:t xml:space="preserve"> ran counter to the cultic god cults and their priesthoods</w:t>
      </w:r>
      <w:r w:rsidR="00D57E3E">
        <w:t>,</w:t>
      </w:r>
      <w:r>
        <w:t xml:space="preserve"> who </w:t>
      </w:r>
      <w:r w:rsidR="00D57E3E">
        <w:t>recognized they would suffer</w:t>
      </w:r>
      <w:r>
        <w:t xml:space="preserve"> loss of their revenues and powers.  Thus</w:t>
      </w:r>
      <w:r w:rsidR="00E5645C">
        <w:t xml:space="preserve">, </w:t>
      </w:r>
      <w:r w:rsidR="00E5645C" w:rsidRPr="00E5645C">
        <w:rPr>
          <w:bCs/>
        </w:rPr>
        <w:t xml:space="preserve">Akhenaten’s </w:t>
      </w:r>
      <w:r w:rsidR="00D57E3E">
        <w:rPr>
          <w:bCs/>
        </w:rPr>
        <w:t xml:space="preserve">theological </w:t>
      </w:r>
      <w:r w:rsidR="00E5645C" w:rsidRPr="00E5645C">
        <w:rPr>
          <w:bCs/>
        </w:rPr>
        <w:t xml:space="preserve">innovation ran counter </w:t>
      </w:r>
      <w:r w:rsidR="00E5645C">
        <w:rPr>
          <w:bCs/>
        </w:rPr>
        <w:t xml:space="preserve">to the hierarchy </w:t>
      </w:r>
      <w:r w:rsidR="005D2ADF">
        <w:rPr>
          <w:bCs/>
        </w:rPr>
        <w:t xml:space="preserve">of the priestly establishment. </w:t>
      </w:r>
    </w:p>
    <w:p w:rsidR="00D57E3E" w:rsidRDefault="00D57E3E" w:rsidP="00A319C0">
      <w:pPr>
        <w:pStyle w:val="NormalWeb"/>
        <w:spacing w:before="0" w:beforeAutospacing="0" w:after="0" w:afterAutospacing="0"/>
        <w:rPr>
          <w:bCs/>
        </w:rPr>
      </w:pPr>
      <w:r>
        <w:rPr>
          <w:bCs/>
        </w:rPr>
        <w:t>In addition, Akhenaten’s iconography diverged radically from traditional Egyptian monumentality. Akhenaten’s feminine body and elongated face challenged the sexuality of male rulers who peered at their audiences with a serene but power-encapsulated physiogamy that exuded strength and inflexible deliberateness. Akhenaten’s physiogamy exuded none of these traits. In comparison</w:t>
      </w:r>
      <w:r w:rsidR="00172EE0">
        <w:rPr>
          <w:bCs/>
        </w:rPr>
        <w:t>,</w:t>
      </w:r>
      <w:r>
        <w:rPr>
          <w:bCs/>
        </w:rPr>
        <w:t xml:space="preserve"> he looked effeminate and weak.</w:t>
      </w:r>
    </w:p>
    <w:p w:rsidR="00172EE0" w:rsidRDefault="00D57E3E" w:rsidP="00A319C0">
      <w:pPr>
        <w:pStyle w:val="NormalWeb"/>
        <w:spacing w:before="0" w:beforeAutospacing="0" w:after="0" w:afterAutospacing="0"/>
        <w:ind w:firstLine="720"/>
        <w:rPr>
          <w:bCs/>
        </w:rPr>
      </w:pPr>
      <w:r>
        <w:rPr>
          <w:bCs/>
        </w:rPr>
        <w:t>H</w:t>
      </w:r>
      <w:r w:rsidR="00172EE0">
        <w:rPr>
          <w:bCs/>
        </w:rPr>
        <w:t xml:space="preserve">owever, as with any new pharaoh, Akhenaten established </w:t>
      </w:r>
      <w:r>
        <w:rPr>
          <w:bCs/>
        </w:rPr>
        <w:t>a</w:t>
      </w:r>
      <w:r w:rsidR="00B4235B">
        <w:rPr>
          <w:bCs/>
        </w:rPr>
        <w:t xml:space="preserve"> building </w:t>
      </w:r>
      <w:r>
        <w:rPr>
          <w:bCs/>
        </w:rPr>
        <w:t>program</w:t>
      </w:r>
      <w:r w:rsidR="00B4235B">
        <w:rPr>
          <w:bCs/>
        </w:rPr>
        <w:t xml:space="preserve"> to erect </w:t>
      </w:r>
      <w:r>
        <w:rPr>
          <w:bCs/>
        </w:rPr>
        <w:t xml:space="preserve">structures in praise of </w:t>
      </w:r>
      <w:r w:rsidR="00172EE0">
        <w:rPr>
          <w:bCs/>
        </w:rPr>
        <w:t>himself</w:t>
      </w:r>
      <w:r>
        <w:rPr>
          <w:bCs/>
        </w:rPr>
        <w:t>. I</w:t>
      </w:r>
      <w:r w:rsidR="00B4235B">
        <w:rPr>
          <w:bCs/>
        </w:rPr>
        <w:t xml:space="preserve">n </w:t>
      </w:r>
      <w:r w:rsidR="00BD6C50">
        <w:rPr>
          <w:bCs/>
        </w:rPr>
        <w:t>the large open court that was part of the temple to Aten e</w:t>
      </w:r>
      <w:r w:rsidR="00B4235B">
        <w:rPr>
          <w:bCs/>
        </w:rPr>
        <w:t xml:space="preserve">ast </w:t>
      </w:r>
      <w:r w:rsidR="00BD6C50">
        <w:rPr>
          <w:bCs/>
        </w:rPr>
        <w:t xml:space="preserve">of the enclosure wall of the temple of </w:t>
      </w:r>
      <w:proofErr w:type="spellStart"/>
      <w:r w:rsidR="00B4235B">
        <w:rPr>
          <w:bCs/>
        </w:rPr>
        <w:t>Karnak</w:t>
      </w:r>
      <w:proofErr w:type="spellEnd"/>
      <w:r w:rsidR="00691E1B">
        <w:rPr>
          <w:bCs/>
        </w:rPr>
        <w:t>,</w:t>
      </w:r>
      <w:r w:rsidR="00172EE0">
        <w:rPr>
          <w:bCs/>
        </w:rPr>
        <w:t xml:space="preserve"> probably 32, 4m-high, sandstone colossi of </w:t>
      </w:r>
      <w:r w:rsidR="005531E0">
        <w:rPr>
          <w:bCs/>
        </w:rPr>
        <w:t>his likeness</w:t>
      </w:r>
      <w:r w:rsidR="00172EE0">
        <w:rPr>
          <w:bCs/>
        </w:rPr>
        <w:t xml:space="preserve"> were erected</w:t>
      </w:r>
      <w:r w:rsidR="00BD6C50">
        <w:rPr>
          <w:bCs/>
        </w:rPr>
        <w:t xml:space="preserve"> (</w:t>
      </w:r>
      <w:proofErr w:type="spellStart"/>
      <w:r w:rsidR="00BD6C50">
        <w:rPr>
          <w:bCs/>
        </w:rPr>
        <w:t>Manniche</w:t>
      </w:r>
      <w:proofErr w:type="spellEnd"/>
      <w:r w:rsidR="00BD6C50">
        <w:rPr>
          <w:bCs/>
        </w:rPr>
        <w:t xml:space="preserve"> 2010:x)</w:t>
      </w:r>
      <w:r w:rsidR="00B4235B">
        <w:rPr>
          <w:bCs/>
        </w:rPr>
        <w:t xml:space="preserve">. </w:t>
      </w:r>
      <w:r w:rsidR="00172EE0">
        <w:rPr>
          <w:bCs/>
        </w:rPr>
        <w:t xml:space="preserve">All of these sculptures </w:t>
      </w:r>
      <w:r w:rsidR="00CA3B14">
        <w:rPr>
          <w:bCs/>
        </w:rPr>
        <w:t>embodied his</w:t>
      </w:r>
      <w:r w:rsidR="00172EE0">
        <w:rPr>
          <w:bCs/>
        </w:rPr>
        <w:t xml:space="preserve"> peculiar physiogamy that </w:t>
      </w:r>
      <w:r w:rsidR="00CA3B14">
        <w:rPr>
          <w:bCs/>
        </w:rPr>
        <w:t xml:space="preserve">deviated from traditional </w:t>
      </w:r>
      <w:r w:rsidR="00172EE0">
        <w:rPr>
          <w:bCs/>
        </w:rPr>
        <w:t xml:space="preserve">Egyptian iconography. Gone was the artistic projection of the ruler’s </w:t>
      </w:r>
      <w:r w:rsidR="00081D27">
        <w:rPr>
          <w:bCs/>
        </w:rPr>
        <w:t>powerful</w:t>
      </w:r>
      <w:r w:rsidR="00CA3B14">
        <w:rPr>
          <w:bCs/>
        </w:rPr>
        <w:t>,</w:t>
      </w:r>
      <w:r w:rsidR="00081D27">
        <w:rPr>
          <w:bCs/>
        </w:rPr>
        <w:t xml:space="preserve"> </w:t>
      </w:r>
      <w:r w:rsidR="00CA3B14">
        <w:rPr>
          <w:bCs/>
        </w:rPr>
        <w:t xml:space="preserve">unchallenged and ineffable </w:t>
      </w:r>
      <w:r w:rsidR="005531E0">
        <w:rPr>
          <w:bCs/>
        </w:rPr>
        <w:t xml:space="preserve">godlike </w:t>
      </w:r>
      <w:r w:rsidR="00172EE0">
        <w:rPr>
          <w:bCs/>
        </w:rPr>
        <w:t>power</w:t>
      </w:r>
      <w:r w:rsidR="005531E0">
        <w:rPr>
          <w:bCs/>
        </w:rPr>
        <w:t xml:space="preserve">, </w:t>
      </w:r>
      <w:r w:rsidR="00081D27">
        <w:rPr>
          <w:bCs/>
        </w:rPr>
        <w:t xml:space="preserve">a power </w:t>
      </w:r>
      <w:r w:rsidR="005531E0">
        <w:rPr>
          <w:bCs/>
        </w:rPr>
        <w:t>which now rested with the Solar Disk that all could worship daily</w:t>
      </w:r>
      <w:r w:rsidR="00081D27">
        <w:rPr>
          <w:bCs/>
        </w:rPr>
        <w:t xml:space="preserve"> in the heavens</w:t>
      </w:r>
      <w:r w:rsidR="00172EE0">
        <w:rPr>
          <w:bCs/>
        </w:rPr>
        <w:t xml:space="preserve">. </w:t>
      </w:r>
      <w:r w:rsidR="00081D27">
        <w:rPr>
          <w:bCs/>
        </w:rPr>
        <w:t xml:space="preserve">This was a democratization of </w:t>
      </w:r>
      <w:r w:rsidR="00081D27">
        <w:rPr>
          <w:bCs/>
        </w:rPr>
        <w:lastRenderedPageBreak/>
        <w:t>theology, a theology that had previously been jealously guarded by the priests who had been its only intermediaries.</w:t>
      </w:r>
    </w:p>
    <w:p w:rsidR="009B3B0A" w:rsidRPr="009B3B0A" w:rsidRDefault="00CA3B14" w:rsidP="00DC2B7A">
      <w:pPr>
        <w:pStyle w:val="NormalWeb"/>
        <w:spacing w:before="0" w:beforeAutospacing="0" w:after="0" w:afterAutospacing="0"/>
        <w:ind w:firstLine="720"/>
      </w:pPr>
      <w:r>
        <w:t xml:space="preserve">Furthermore, </w:t>
      </w:r>
      <w:r w:rsidR="00BF177A">
        <w:t xml:space="preserve">Akhenaten </w:t>
      </w:r>
      <w:r>
        <w:t>produced a</w:t>
      </w:r>
      <w:r w:rsidR="005531E0" w:rsidRPr="009B3B0A">
        <w:t xml:space="preserve"> </w:t>
      </w:r>
      <w:r w:rsidR="00A319C0">
        <w:t>theologically comprehensive</w:t>
      </w:r>
      <w:r w:rsidR="005531E0" w:rsidRPr="009B3B0A">
        <w:t xml:space="preserve"> and </w:t>
      </w:r>
      <w:r w:rsidR="00A319C0">
        <w:t xml:space="preserve">aesthetically </w:t>
      </w:r>
      <w:r w:rsidR="005531E0" w:rsidRPr="009B3B0A">
        <w:t xml:space="preserve">beautiful </w:t>
      </w:r>
      <w:r w:rsidRPr="00081D27">
        <w:rPr>
          <w:i/>
        </w:rPr>
        <w:t>Great Hymn to Aten</w:t>
      </w:r>
      <w:r>
        <w:rPr>
          <w:rStyle w:val="mw-mmv-author"/>
        </w:rPr>
        <w:t xml:space="preserve">, which began </w:t>
      </w:r>
      <w:r w:rsidR="005531E0" w:rsidRPr="009B3B0A">
        <w:t>(</w:t>
      </w:r>
      <w:r w:rsidR="009B3B0A" w:rsidRPr="009B3B0A">
        <w:t>Pritchard 1958</w:t>
      </w:r>
      <w:r w:rsidR="009B3B0A">
        <w:t xml:space="preserve">: </w:t>
      </w:r>
      <w:r w:rsidR="009B3B0A" w:rsidRPr="009B3B0A">
        <w:t>227-230.):</w:t>
      </w:r>
    </w:p>
    <w:p w:rsidR="00CA3B14" w:rsidRDefault="00CA3B14" w:rsidP="00A319C0">
      <w:pPr>
        <w:shd w:val="clear" w:color="auto" w:fill="FFFFFF"/>
        <w:spacing w:after="0" w:line="240" w:lineRule="auto"/>
        <w:ind w:left="720"/>
        <w:rPr>
          <w:rFonts w:eastAsia="Times New Roman"/>
          <w:iCs/>
          <w:color w:val="222222"/>
        </w:rPr>
      </w:pP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How manifold it is, what thou hast made!</w:t>
      </w: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 xml:space="preserve">They are hidden from the face </w:t>
      </w:r>
      <w:r w:rsidR="00CA3B14">
        <w:rPr>
          <w:rFonts w:eastAsia="Times New Roman"/>
          <w:iCs/>
          <w:color w:val="222222"/>
        </w:rPr>
        <w:t>[of man]</w:t>
      </w:r>
      <w:r w:rsidRPr="005531E0">
        <w:rPr>
          <w:rFonts w:eastAsia="Times New Roman"/>
          <w:iCs/>
          <w:color w:val="222222"/>
        </w:rPr>
        <w:t>.</w:t>
      </w: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O sole god, like whom there is no other!</w:t>
      </w: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Thou didst create the world according to thy desire,</w:t>
      </w: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Whilst thou wert alone: All men, cattle, and wild beasts,</w:t>
      </w: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 xml:space="preserve">Whatever is on earth, going upon </w:t>
      </w:r>
      <w:r w:rsidR="00CA3B14">
        <w:rPr>
          <w:rFonts w:eastAsia="Times New Roman"/>
          <w:iCs/>
          <w:color w:val="222222"/>
        </w:rPr>
        <w:t>[</w:t>
      </w:r>
      <w:r w:rsidRPr="005531E0">
        <w:rPr>
          <w:rFonts w:eastAsia="Times New Roman"/>
          <w:iCs/>
          <w:color w:val="222222"/>
        </w:rPr>
        <w:t>its</w:t>
      </w:r>
      <w:r w:rsidR="00CA3B14">
        <w:rPr>
          <w:rFonts w:eastAsia="Times New Roman"/>
          <w:iCs/>
          <w:color w:val="222222"/>
        </w:rPr>
        <w:t>]</w:t>
      </w:r>
      <w:r w:rsidRPr="005531E0">
        <w:rPr>
          <w:rFonts w:eastAsia="Times New Roman"/>
          <w:iCs/>
          <w:color w:val="222222"/>
        </w:rPr>
        <w:t xml:space="preserve"> feet,</w:t>
      </w:r>
    </w:p>
    <w:p w:rsidR="005531E0" w:rsidRPr="009B3B0A" w:rsidRDefault="005531E0" w:rsidP="00A319C0">
      <w:pPr>
        <w:shd w:val="clear" w:color="auto" w:fill="FFFFFF"/>
        <w:spacing w:after="0" w:line="240" w:lineRule="auto"/>
        <w:ind w:left="720"/>
        <w:rPr>
          <w:rFonts w:eastAsia="Times New Roman"/>
          <w:iCs/>
          <w:color w:val="222222"/>
        </w:rPr>
      </w:pPr>
      <w:r w:rsidRPr="005531E0">
        <w:rPr>
          <w:rFonts w:eastAsia="Times New Roman"/>
          <w:iCs/>
          <w:color w:val="222222"/>
        </w:rPr>
        <w:t>And what is on high, flying with its wings.</w:t>
      </w:r>
    </w:p>
    <w:p w:rsidR="00A319C0" w:rsidRDefault="00A319C0" w:rsidP="00A319C0">
      <w:pPr>
        <w:pStyle w:val="NormalWeb"/>
        <w:spacing w:before="0" w:beforeAutospacing="0" w:after="0" w:afterAutospacing="0"/>
        <w:rPr>
          <w:color w:val="222222"/>
          <w:shd w:val="clear" w:color="auto" w:fill="FFFFFF"/>
        </w:rPr>
      </w:pPr>
    </w:p>
    <w:p w:rsidR="005531E0" w:rsidRPr="009B3B0A" w:rsidRDefault="005531E0" w:rsidP="00A319C0">
      <w:pPr>
        <w:pStyle w:val="NormalWeb"/>
        <w:spacing w:before="0" w:beforeAutospacing="0" w:after="0" w:afterAutospacing="0"/>
      </w:pPr>
      <w:r w:rsidRPr="009B3B0A">
        <w:rPr>
          <w:rStyle w:val="reference-text"/>
          <w:color w:val="222222"/>
        </w:rPr>
        <w:t>Sir Flinders Petrie wrote in 1898</w:t>
      </w:r>
      <w:r w:rsidR="00BF177A">
        <w:rPr>
          <w:rStyle w:val="reference-text"/>
          <w:color w:val="222222"/>
        </w:rPr>
        <w:t xml:space="preserve"> (2:214)</w:t>
      </w:r>
      <w:r w:rsidRPr="009B3B0A">
        <w:rPr>
          <w:color w:val="222222"/>
          <w:shd w:val="clear" w:color="auto" w:fill="FFFFFF"/>
        </w:rPr>
        <w:t>:</w:t>
      </w:r>
    </w:p>
    <w:p w:rsidR="00A319C0" w:rsidRDefault="00A319C0" w:rsidP="00A319C0">
      <w:pPr>
        <w:pStyle w:val="NormalWeb"/>
        <w:spacing w:before="0" w:beforeAutospacing="0" w:after="0" w:afterAutospacing="0"/>
        <w:ind w:left="720"/>
        <w:rPr>
          <w:color w:val="222222"/>
          <w:shd w:val="clear" w:color="auto" w:fill="FFFFFF"/>
        </w:rPr>
      </w:pPr>
    </w:p>
    <w:p w:rsidR="005531E0" w:rsidRDefault="005531E0" w:rsidP="00A319C0">
      <w:pPr>
        <w:pStyle w:val="NormalWeb"/>
        <w:spacing w:before="0" w:beforeAutospacing="0" w:after="0" w:afterAutospacing="0"/>
        <w:ind w:left="720"/>
        <w:rPr>
          <w:color w:val="222222"/>
          <w:shd w:val="clear" w:color="auto" w:fill="FFFFFF"/>
        </w:rPr>
      </w:pPr>
      <w:r w:rsidRPr="009B3B0A">
        <w:rPr>
          <w:color w:val="222222"/>
          <w:shd w:val="clear" w:color="auto" w:fill="FFFFFF"/>
        </w:rPr>
        <w:t>If this were a new religion, invented to satisfy our modern scientific conceptions, we could not find a flaw in the correctness of this view of the energy of the solar system. How much Akhenaten understood, we cannot say, but he certainly bounded forward in his views and symbolism to a position which we cannot logically improve upon at the present day. Not a rag of superstition or of falsity can be found clinging to this new worship evolved out of the old Aton of Heliopolis, the sole Lord of the universe</w:t>
      </w:r>
      <w:r w:rsidR="009B3B0A" w:rsidRPr="009B3B0A">
        <w:rPr>
          <w:color w:val="222222"/>
          <w:shd w:val="clear" w:color="auto" w:fill="FFFFFF"/>
        </w:rPr>
        <w:t>.</w:t>
      </w:r>
    </w:p>
    <w:p w:rsidR="00081D27" w:rsidRDefault="00081D27" w:rsidP="00A319C0">
      <w:pPr>
        <w:pStyle w:val="NormalWeb"/>
        <w:spacing w:before="0" w:beforeAutospacing="0" w:after="0" w:afterAutospacing="0"/>
        <w:rPr>
          <w:b/>
          <w:bCs/>
        </w:rPr>
      </w:pPr>
    </w:p>
    <w:p w:rsidR="00081D27" w:rsidRDefault="00081D27" w:rsidP="00A319C0">
      <w:pPr>
        <w:pStyle w:val="NormalWeb"/>
        <w:spacing w:before="0" w:beforeAutospacing="0" w:after="0" w:afterAutospacing="0"/>
      </w:pPr>
      <w:r w:rsidRPr="00081D27">
        <w:rPr>
          <w:bCs/>
        </w:rPr>
        <w:t>This</w:t>
      </w:r>
      <w:r>
        <w:t xml:space="preserve"> </w:t>
      </w:r>
      <w:r w:rsidR="00CA3B14" w:rsidRPr="00081D27">
        <w:rPr>
          <w:i/>
        </w:rPr>
        <w:t>Great Hymn to Aten</w:t>
      </w:r>
      <w:r w:rsidR="00A319C0">
        <w:t xml:space="preserve"> </w:t>
      </w:r>
      <w:r>
        <w:t xml:space="preserve">is the longest </w:t>
      </w:r>
      <w:r w:rsidR="00A319C0">
        <w:t>of those</w:t>
      </w:r>
      <w:r>
        <w:t xml:space="preserve"> </w:t>
      </w:r>
      <w:r w:rsidR="00CA3B14">
        <w:t xml:space="preserve">poems </w:t>
      </w:r>
      <w:r>
        <w:t xml:space="preserve">written to the </w:t>
      </w:r>
      <w:r w:rsidRPr="00BF177A">
        <w:t>sun-disk</w:t>
      </w:r>
      <w:r>
        <w:t xml:space="preserve"> deity </w:t>
      </w:r>
      <w:r w:rsidRPr="00BF177A">
        <w:t>Aten</w:t>
      </w:r>
      <w:r w:rsidR="00A319C0">
        <w:t>:</w:t>
      </w:r>
      <w:r>
        <w:t xml:space="preserve"> </w:t>
      </w:r>
    </w:p>
    <w:p w:rsidR="00A319C0" w:rsidRDefault="00A319C0" w:rsidP="00A319C0">
      <w:pPr>
        <w:pStyle w:val="NormalWeb"/>
        <w:spacing w:before="0" w:beforeAutospacing="0" w:after="0" w:afterAutospacing="0"/>
      </w:pPr>
      <w:r>
        <w:rPr>
          <w:noProof/>
        </w:rPr>
        <w:lastRenderedPageBreak/>
        <w:drawing>
          <wp:inline distT="0" distB="0" distL="0" distR="0">
            <wp:extent cx="4637613" cy="8263257"/>
            <wp:effectExtent l="0" t="0" r="0" b="4445"/>
            <wp:docPr id="4" name="Picture 4" descr="https://upload.wikimedia.org/wikipedia/commons/3/3d/Aten_worship_-_Great_Hymn_to_At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d/Aten_worship_-_Great_Hymn_to_Aten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5816" cy="8277872"/>
                    </a:xfrm>
                    <a:prstGeom prst="rect">
                      <a:avLst/>
                    </a:prstGeom>
                    <a:noFill/>
                    <a:ln>
                      <a:noFill/>
                    </a:ln>
                  </pic:spPr>
                </pic:pic>
              </a:graphicData>
            </a:graphic>
          </wp:inline>
        </w:drawing>
      </w:r>
    </w:p>
    <w:p w:rsidR="00A319C0" w:rsidRDefault="00A319C0" w:rsidP="00A319C0">
      <w:pPr>
        <w:pStyle w:val="NormalWeb"/>
        <w:spacing w:before="0" w:beforeAutospacing="0" w:after="0" w:afterAutospacing="0"/>
      </w:pPr>
      <w:proofErr w:type="spellStart"/>
      <w:r>
        <w:rPr>
          <w:rStyle w:val="mw-mmv-author"/>
        </w:rPr>
        <w:t>Amehotep</w:t>
      </w:r>
      <w:proofErr w:type="spellEnd"/>
      <w:r>
        <w:rPr>
          <w:rStyle w:val="mw-mmv-author"/>
        </w:rPr>
        <w:t xml:space="preserve"> IV (Akhenaten), </w:t>
      </w:r>
      <w:r w:rsidR="00CA3B14" w:rsidRPr="00081D27">
        <w:rPr>
          <w:i/>
        </w:rPr>
        <w:t>Great Hymn to Aten</w:t>
      </w:r>
      <w:r w:rsidR="00DC2B7A">
        <w:rPr>
          <w:rStyle w:val="mw-mmv-author"/>
        </w:rPr>
        <w:t xml:space="preserve"> </w:t>
      </w:r>
      <w:r>
        <w:rPr>
          <w:rStyle w:val="mw-mmv-author"/>
        </w:rPr>
        <w:t xml:space="preserve">in N. de G. Davies, </w:t>
      </w:r>
      <w:r>
        <w:rPr>
          <w:rStyle w:val="mw-mmv-author"/>
          <w:i/>
          <w:iCs/>
        </w:rPr>
        <w:t>The Rock Tombs of El Amarna</w:t>
      </w:r>
      <w:r>
        <w:rPr>
          <w:rStyle w:val="mw-mmv-author"/>
        </w:rPr>
        <w:t>, part VI, "The Egypt Exploration Fund" (London, 1908)</w:t>
      </w:r>
      <w:r>
        <w:rPr>
          <w:rStyle w:val="mw-mmv-source-author"/>
        </w:rPr>
        <w:t xml:space="preserve"> - </w:t>
      </w:r>
      <w:hyperlink r:id="rId8" w:history="1">
        <w:r>
          <w:rPr>
            <w:rStyle w:val="Hyperlink"/>
          </w:rPr>
          <w:t>http://www.sofiatopia.org/equiaeon/davies.htm</w:t>
        </w:r>
      </w:hyperlink>
      <w:r>
        <w:rPr>
          <w:rStyle w:val="mw-mmv-source"/>
        </w:rPr>
        <w:t xml:space="preserve"> (greater contrast)</w:t>
      </w:r>
    </w:p>
    <w:p w:rsidR="00A319C0" w:rsidRPr="009B3B0A" w:rsidRDefault="00A319C0" w:rsidP="00A319C0">
      <w:pPr>
        <w:pStyle w:val="NormalWeb"/>
        <w:spacing w:before="0" w:beforeAutospacing="0" w:after="0" w:afterAutospacing="0"/>
      </w:pPr>
    </w:p>
    <w:p w:rsidR="005531E0" w:rsidRPr="00691E1B" w:rsidRDefault="005531E0" w:rsidP="00A319C0">
      <w:pPr>
        <w:pStyle w:val="NormalWeb"/>
        <w:spacing w:before="0" w:beforeAutospacing="0" w:after="0" w:afterAutospacing="0"/>
        <w:ind w:firstLine="720"/>
        <w:rPr>
          <w:bCs/>
        </w:rPr>
      </w:pPr>
    </w:p>
    <w:p w:rsidR="00DC2B7A" w:rsidRDefault="00BF177A" w:rsidP="00DC2B7A">
      <w:pPr>
        <w:pStyle w:val="NormalWeb"/>
        <w:spacing w:before="0" w:beforeAutospacing="0" w:after="0" w:afterAutospacing="0"/>
        <w:ind w:firstLine="720"/>
      </w:pPr>
      <w:r>
        <w:lastRenderedPageBreak/>
        <w:t>I</w:t>
      </w:r>
      <w:r w:rsidR="00FB0DC0">
        <w:t>n 1907, simultaneous with</w:t>
      </w:r>
      <w:r w:rsidR="00622C65">
        <w:t xml:space="preserve"> </w:t>
      </w:r>
      <w:r w:rsidR="00622C65" w:rsidRPr="005D2ADF">
        <w:t>Flinders Petrie</w:t>
      </w:r>
      <w:r w:rsidR="00FB0DC0">
        <w:t>’s</w:t>
      </w:r>
      <w:r w:rsidR="005D2ADF">
        <w:t xml:space="preserve"> excav</w:t>
      </w:r>
      <w:r w:rsidR="00F86291">
        <w:t>a</w:t>
      </w:r>
      <w:r w:rsidR="005D2ADF">
        <w:t xml:space="preserve">tions </w:t>
      </w:r>
      <w:r w:rsidR="00FB0DC0">
        <w:t xml:space="preserve">of Akhenaten’s city </w:t>
      </w:r>
      <w:r w:rsidR="00081D27">
        <w:t xml:space="preserve">of </w:t>
      </w:r>
      <w:r w:rsidR="00081D27" w:rsidRPr="00081D27">
        <w:rPr>
          <w:color w:val="545454"/>
          <w:shd w:val="clear" w:color="auto" w:fill="FFFFFF"/>
        </w:rPr>
        <w:t>Akhenaten</w:t>
      </w:r>
      <w:r w:rsidR="00081D27">
        <w:t xml:space="preserve"> </w:t>
      </w:r>
      <w:r w:rsidR="005D2ADF">
        <w:t>at Amarna</w:t>
      </w:r>
      <w:r w:rsidR="00F86291">
        <w:t>,</w:t>
      </w:r>
      <w:r w:rsidR="00622C65">
        <w:t xml:space="preserve"> </w:t>
      </w:r>
      <w:r w:rsidR="00622C65" w:rsidRPr="00F86291">
        <w:t xml:space="preserve">Edward R. </w:t>
      </w:r>
      <w:proofErr w:type="spellStart"/>
      <w:r w:rsidR="00622C65" w:rsidRPr="00F86291">
        <w:t>Ayrton</w:t>
      </w:r>
      <w:proofErr w:type="spellEnd"/>
      <w:r w:rsidR="00DC2B7A">
        <w:t xml:space="preserve"> excavating in the </w:t>
      </w:r>
      <w:r w:rsidR="00DC2B7A" w:rsidRPr="00F86291">
        <w:t>Valley of the Kings</w:t>
      </w:r>
      <w:r w:rsidR="00DC2B7A">
        <w:t xml:space="preserve"> at Luxor found a mummy d in tomb </w:t>
      </w:r>
      <w:r w:rsidR="00DC2B7A" w:rsidRPr="00F86291">
        <w:t>KV55</w:t>
      </w:r>
      <w:r w:rsidR="00FB0DC0">
        <w:t>,</w:t>
      </w:r>
      <w:r w:rsidR="00F86291">
        <w:t xml:space="preserve"> which</w:t>
      </w:r>
      <w:r w:rsidR="00081D27">
        <w:t>,</w:t>
      </w:r>
      <w:r w:rsidR="00F86291">
        <w:t xml:space="preserve"> </w:t>
      </w:r>
      <w:r w:rsidR="00FB0DC0">
        <w:t xml:space="preserve">based on </w:t>
      </w:r>
      <w:r w:rsidR="00622C65" w:rsidRPr="00F86291">
        <w:t>DNA analysis</w:t>
      </w:r>
      <w:r w:rsidR="00081D27">
        <w:t>,</w:t>
      </w:r>
      <w:r w:rsidR="00622C65">
        <w:t xml:space="preserve"> </w:t>
      </w:r>
      <w:r w:rsidR="00081D27">
        <w:t>is</w:t>
      </w:r>
      <w:r w:rsidR="00FB0DC0">
        <w:t xml:space="preserve"> </w:t>
      </w:r>
      <w:r w:rsidR="00A319C0">
        <w:t xml:space="preserve">probably </w:t>
      </w:r>
      <w:r w:rsidR="00FB0DC0">
        <w:t xml:space="preserve">that of Akhenaten </w:t>
      </w:r>
      <w:r w:rsidR="00F86291">
        <w:t>(Anon. 2000</w:t>
      </w:r>
      <w:r w:rsidR="00FB0DC0">
        <w:rPr>
          <w:rStyle w:val="reference-accessdate"/>
          <w:i/>
          <w:iCs/>
        </w:rPr>
        <w:t xml:space="preserve">; but cf. </w:t>
      </w:r>
      <w:r w:rsidR="00E37B54">
        <w:t xml:space="preserve">Anon 2010). </w:t>
      </w:r>
      <w:r w:rsidR="00DC2B7A">
        <w:t xml:space="preserve">This was buried hurriedly without proper identification. </w:t>
      </w:r>
      <w:r w:rsidR="00081D27">
        <w:t xml:space="preserve">Across the Nile </w:t>
      </w:r>
      <w:r w:rsidR="00DC2B7A">
        <w:t xml:space="preserve">at </w:t>
      </w:r>
      <w:proofErr w:type="spellStart"/>
      <w:r w:rsidR="00DC2B7A">
        <w:t>Karnak</w:t>
      </w:r>
      <w:proofErr w:type="spellEnd"/>
      <w:r w:rsidR="00DC2B7A">
        <w:t xml:space="preserve"> </w:t>
      </w:r>
      <w:r w:rsidR="00A319C0">
        <w:t xml:space="preserve">rested </w:t>
      </w:r>
      <w:r w:rsidR="00DC2B7A">
        <w:t xml:space="preserve">Akhenaten’s causeway of statues to himself and his temple to Aten. </w:t>
      </w:r>
      <w:r w:rsidR="00DC2B7A">
        <w:rPr>
          <w:bCs/>
        </w:rPr>
        <w:t>However, when Akhenaten had died after only 17 years into his reign, efforts to dismantle and secrete his monuments and statues</w:t>
      </w:r>
      <w:r w:rsidR="00DC2B7A">
        <w:t xml:space="preserve"> were enacted by the priestly establishment. Purposefully, they effaced his name and excluded it from traditional Pharaonic lists (</w:t>
      </w:r>
      <w:proofErr w:type="spellStart"/>
      <w:r w:rsidR="00DC2B7A">
        <w:t>Manniche</w:t>
      </w:r>
      <w:proofErr w:type="spellEnd"/>
      <w:r w:rsidR="00DC2B7A">
        <w:t xml:space="preserve"> 2010: ix). These same priests restored the traditional Egyptian gods and goddesses, which would henceforth ensure continuing revenues and jurisdictional power by the priests over the shrines of these deities. </w:t>
      </w:r>
    </w:p>
    <w:p w:rsidR="00E37B54" w:rsidRDefault="00A319C0" w:rsidP="00DC2B7A">
      <w:pPr>
        <w:pStyle w:val="NormalWeb"/>
        <w:spacing w:before="0" w:beforeAutospacing="0" w:after="0" w:afterAutospacing="0"/>
        <w:ind w:firstLine="720"/>
      </w:pPr>
      <w:r>
        <w:t xml:space="preserve"> </w:t>
      </w:r>
    </w:p>
    <w:p w:rsidR="002E150F" w:rsidRPr="00EB5DE2" w:rsidRDefault="002E150F" w:rsidP="00A319C0">
      <w:pPr>
        <w:spacing w:after="0"/>
        <w:rPr>
          <w:b/>
          <w:bCs/>
        </w:rPr>
      </w:pPr>
      <w:r w:rsidRPr="00EB5DE2">
        <w:rPr>
          <w:b/>
          <w:bCs/>
        </w:rPr>
        <w:t>LC Classification:</w:t>
      </w:r>
      <w:r>
        <w:rPr>
          <w:b/>
          <w:bCs/>
        </w:rPr>
        <w:t xml:space="preserve"> </w:t>
      </w:r>
      <w:r>
        <w:rPr>
          <w:rFonts w:ascii="Arial Unicode MS" w:eastAsia="Arial Unicode MS" w:hAnsi="Arial Unicode MS" w:cs="Arial Unicode MS" w:hint="eastAsia"/>
          <w:color w:val="000000"/>
          <w:sz w:val="20"/>
          <w:szCs w:val="20"/>
          <w:shd w:val="clear" w:color="auto" w:fill="EBEBEB"/>
        </w:rPr>
        <w:t>DT62</w:t>
      </w:r>
    </w:p>
    <w:p w:rsidR="002E150F" w:rsidRDefault="002E150F" w:rsidP="00A319C0">
      <w:pPr>
        <w:spacing w:after="0"/>
      </w:pPr>
      <w:r>
        <w:rPr>
          <w:rStyle w:val="Strong"/>
        </w:rPr>
        <w:t>Date or Time Horizon:</w:t>
      </w:r>
      <w:r>
        <w:t xml:space="preserve"> </w:t>
      </w:r>
      <w:r w:rsidRPr="006E5CD0">
        <w:t>18th dynasty</w:t>
      </w:r>
      <w:r w:rsidR="00A319C0">
        <w:t xml:space="preserve">, </w:t>
      </w:r>
      <w:r w:rsidRPr="006E5CD0">
        <w:t>1550-1295 BCE</w:t>
      </w:r>
    </w:p>
    <w:p w:rsidR="002E150F" w:rsidRDefault="002E150F" w:rsidP="00A319C0">
      <w:pPr>
        <w:spacing w:after="0"/>
      </w:pPr>
      <w:r>
        <w:rPr>
          <w:rStyle w:val="Strong"/>
        </w:rPr>
        <w:t>Geographical Area:</w:t>
      </w:r>
      <w:r>
        <w:t xml:space="preserve"> </w:t>
      </w:r>
      <w:proofErr w:type="spellStart"/>
      <w:r w:rsidR="00A319C0">
        <w:t>Karnak</w:t>
      </w:r>
      <w:proofErr w:type="spellEnd"/>
    </w:p>
    <w:p w:rsidR="002E150F" w:rsidRDefault="002E150F" w:rsidP="00A319C0">
      <w:pPr>
        <w:spacing w:after="0"/>
        <w:rPr>
          <w:b/>
        </w:rPr>
      </w:pPr>
      <w:r w:rsidRPr="0011252F">
        <w:rPr>
          <w:b/>
        </w:rPr>
        <w:t>Map</w:t>
      </w:r>
      <w:r>
        <w:rPr>
          <w:b/>
        </w:rPr>
        <w:t>:</w:t>
      </w:r>
      <w:r w:rsidRPr="0011252F">
        <w:rPr>
          <w:b/>
        </w:rPr>
        <w:t xml:space="preserve"> </w:t>
      </w:r>
    </w:p>
    <w:p w:rsidR="00E37B54" w:rsidRDefault="00E37B54" w:rsidP="00A319C0">
      <w:pPr>
        <w:spacing w:after="0"/>
        <w:rPr>
          <w:b/>
        </w:rPr>
      </w:pPr>
      <w:r>
        <w:rPr>
          <w:noProof/>
        </w:rPr>
        <w:drawing>
          <wp:inline distT="0" distB="0" distL="0" distR="0" wp14:anchorId="1C4FC394" wp14:editId="25179AFA">
            <wp:extent cx="2200514" cy="229493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7581" cy="2302309"/>
                    </a:xfrm>
                    <a:prstGeom prst="rect">
                      <a:avLst/>
                    </a:prstGeom>
                  </pic:spPr>
                </pic:pic>
              </a:graphicData>
            </a:graphic>
          </wp:inline>
        </w:drawing>
      </w:r>
    </w:p>
    <w:p w:rsidR="002C3027" w:rsidRDefault="002C3027" w:rsidP="00A319C0">
      <w:pPr>
        <w:spacing w:after="0"/>
        <w:rPr>
          <w:b/>
        </w:rPr>
      </w:pPr>
      <w:r>
        <w:rPr>
          <w:b/>
        </w:rPr>
        <w:t xml:space="preserve">Map of Egypt ca. 1336 BCE after </w:t>
      </w:r>
      <w:r w:rsidRPr="002C3027">
        <w:rPr>
          <w:b/>
        </w:rPr>
        <w:t>http://arclab.usc.edu/barracks/Images/amarnamap.jpg</w:t>
      </w:r>
    </w:p>
    <w:p w:rsidR="002E150F" w:rsidRDefault="002E150F" w:rsidP="00A319C0">
      <w:pPr>
        <w:spacing w:after="0"/>
        <w:rPr>
          <w:b/>
        </w:rPr>
      </w:pPr>
      <w:r>
        <w:rPr>
          <w:noProof/>
        </w:rPr>
        <w:lastRenderedPageBreak/>
        <w:drawing>
          <wp:inline distT="0" distB="0" distL="0" distR="0" wp14:anchorId="289DC6E1" wp14:editId="47E37C94">
            <wp:extent cx="4763386" cy="475661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4805" cy="4768021"/>
                    </a:xfrm>
                    <a:prstGeom prst="rect">
                      <a:avLst/>
                    </a:prstGeom>
                  </pic:spPr>
                </pic:pic>
              </a:graphicData>
            </a:graphic>
          </wp:inline>
        </w:drawing>
      </w:r>
    </w:p>
    <w:p w:rsidR="002C3027" w:rsidRDefault="002C3027" w:rsidP="00A319C0">
      <w:pPr>
        <w:spacing w:after="0"/>
        <w:rPr>
          <w:b/>
        </w:rPr>
      </w:pPr>
      <w:r>
        <w:rPr>
          <w:b/>
        </w:rPr>
        <w:t xml:space="preserve">El Amarna map after </w:t>
      </w:r>
      <w:r w:rsidRPr="002C3027">
        <w:rPr>
          <w:b/>
        </w:rPr>
        <w:t>http://www.narmer.pl/map/ima/ama_m_en.gif</w:t>
      </w:r>
      <w:r>
        <w:rPr>
          <w:b/>
        </w:rPr>
        <w:t>.</w:t>
      </w:r>
    </w:p>
    <w:p w:rsidR="002E150F" w:rsidRPr="0011252F" w:rsidRDefault="002E150F" w:rsidP="00A319C0">
      <w:pPr>
        <w:spacing w:after="0"/>
        <w:rPr>
          <w:b/>
        </w:rPr>
      </w:pPr>
      <w:r w:rsidRPr="0011252F">
        <w:rPr>
          <w:b/>
        </w:rPr>
        <w:t>GPS coordinates:</w:t>
      </w:r>
      <w:r w:rsidR="002C3027">
        <w:rPr>
          <w:b/>
        </w:rPr>
        <w:t xml:space="preserve"> </w:t>
      </w:r>
      <w:hyperlink r:id="rId11" w:history="1">
        <w:r w:rsidR="002C3027">
          <w:rPr>
            <w:rStyle w:val="latitude"/>
            <w:rFonts w:ascii="Arial" w:hAnsi="Arial" w:cs="Arial"/>
            <w:color w:val="663366"/>
            <w:sz w:val="18"/>
            <w:szCs w:val="18"/>
            <w:shd w:val="clear" w:color="auto" w:fill="F8F9FA"/>
          </w:rPr>
          <w:t>27°38′42.71″N</w:t>
        </w:r>
        <w:r w:rsidR="002C3027">
          <w:rPr>
            <w:rStyle w:val="longitude"/>
            <w:rFonts w:ascii="Arial" w:hAnsi="Arial" w:cs="Arial"/>
            <w:color w:val="663366"/>
            <w:sz w:val="18"/>
            <w:szCs w:val="18"/>
            <w:shd w:val="clear" w:color="auto" w:fill="F8F9FA"/>
          </w:rPr>
          <w:t>30°53′47.34″E</w:t>
        </w:r>
      </w:hyperlink>
    </w:p>
    <w:p w:rsidR="002E150F" w:rsidRDefault="002E150F" w:rsidP="00A319C0">
      <w:pPr>
        <w:spacing w:after="0"/>
      </w:pPr>
      <w:r>
        <w:rPr>
          <w:rStyle w:val="Strong"/>
        </w:rPr>
        <w:t>Cultural Affiliation:</w:t>
      </w:r>
      <w:r>
        <w:t xml:space="preserve"> </w:t>
      </w:r>
      <w:r w:rsidR="002C3027">
        <w:t>18th Dynasty</w:t>
      </w:r>
    </w:p>
    <w:p w:rsidR="002E150F" w:rsidRDefault="002E150F" w:rsidP="00A319C0">
      <w:pPr>
        <w:spacing w:after="0"/>
      </w:pPr>
      <w:r>
        <w:rPr>
          <w:rStyle w:val="Strong"/>
        </w:rPr>
        <w:t>Medi</w:t>
      </w:r>
      <w:r w:rsidR="002C3027">
        <w:rPr>
          <w:rStyle w:val="Strong"/>
        </w:rPr>
        <w:t>um</w:t>
      </w:r>
      <w:r>
        <w:rPr>
          <w:rStyle w:val="Strong"/>
        </w:rPr>
        <w:t>:</w:t>
      </w:r>
      <w:r>
        <w:t xml:space="preserve"> </w:t>
      </w:r>
      <w:r w:rsidR="002C3027">
        <w:t>terracotta</w:t>
      </w:r>
    </w:p>
    <w:p w:rsidR="002E150F" w:rsidRDefault="002E150F" w:rsidP="00A319C0">
      <w:pPr>
        <w:spacing w:after="0"/>
        <w:rPr>
          <w:b/>
          <w:bCs/>
        </w:rPr>
      </w:pPr>
      <w:r>
        <w:rPr>
          <w:rStyle w:val="Strong"/>
        </w:rPr>
        <w:t>Dimensions:</w:t>
      </w:r>
      <w:r>
        <w:t xml:space="preserve"> </w:t>
      </w:r>
    </w:p>
    <w:p w:rsidR="002E150F" w:rsidRDefault="002E150F" w:rsidP="00A319C0">
      <w:pPr>
        <w:spacing w:after="0"/>
        <w:rPr>
          <w:rStyle w:val="Strong"/>
        </w:rPr>
      </w:pPr>
      <w:r>
        <w:rPr>
          <w:rStyle w:val="Strong"/>
        </w:rPr>
        <w:t xml:space="preserve">Weight:  </w:t>
      </w:r>
    </w:p>
    <w:p w:rsidR="002E150F" w:rsidRDefault="002E150F" w:rsidP="00A319C0">
      <w:pPr>
        <w:spacing w:after="0"/>
        <w:rPr>
          <w:rStyle w:val="Strong"/>
        </w:rPr>
      </w:pPr>
      <w:r>
        <w:rPr>
          <w:rStyle w:val="Strong"/>
        </w:rPr>
        <w:t>Condition:</w:t>
      </w:r>
      <w:r w:rsidR="002C3027">
        <w:rPr>
          <w:rStyle w:val="Strong"/>
        </w:rPr>
        <w:t xml:space="preserve"> original</w:t>
      </w:r>
    </w:p>
    <w:p w:rsidR="002E150F" w:rsidRDefault="002E150F" w:rsidP="00A319C0">
      <w:pPr>
        <w:spacing w:after="0"/>
        <w:rPr>
          <w:b/>
          <w:bCs/>
        </w:rPr>
      </w:pPr>
      <w:r>
        <w:rPr>
          <w:rStyle w:val="Strong"/>
        </w:rPr>
        <w:t>Provenance:</w:t>
      </w:r>
      <w:r>
        <w:t xml:space="preserve"> </w:t>
      </w:r>
    </w:p>
    <w:p w:rsidR="002E150F" w:rsidRDefault="002E150F" w:rsidP="00A319C0">
      <w:pPr>
        <w:spacing w:after="0"/>
        <w:rPr>
          <w:b/>
          <w:bCs/>
        </w:rPr>
      </w:pPr>
      <w:r>
        <w:rPr>
          <w:b/>
          <w:bCs/>
        </w:rPr>
        <w:t>Discussion:</w:t>
      </w:r>
    </w:p>
    <w:p w:rsidR="002E150F" w:rsidRDefault="002E150F" w:rsidP="00A319C0">
      <w:pPr>
        <w:pStyle w:val="NormalWeb"/>
        <w:spacing w:before="0" w:beforeAutospacing="0" w:after="0" w:afterAutospacing="0"/>
      </w:pPr>
      <w:r>
        <w:t xml:space="preserve">Construction of Amarna started in or around Year 5 of </w:t>
      </w:r>
      <w:proofErr w:type="spellStart"/>
      <w:r>
        <w:t>Akenaten’s</w:t>
      </w:r>
      <w:proofErr w:type="spellEnd"/>
      <w:r>
        <w:t xml:space="preserve"> reign (1346 BC) and was probably completed by Year 9 (1341 BC), although it became the capital city two years earlier. To speed up construction of the city most of the buildings were constructed out of </w:t>
      </w:r>
      <w:r w:rsidRPr="00B77702">
        <w:t>mud-brick</w:t>
      </w:r>
      <w:r>
        <w:t>, and white washed. The most important buildings were faced with local stone.</w:t>
      </w:r>
      <w:hyperlink r:id="rId12" w:anchor="cite_note-10" w:history="1">
        <w:r>
          <w:rPr>
            <w:rStyle w:val="Hyperlink"/>
            <w:vertAlign w:val="superscript"/>
          </w:rPr>
          <w:t>[10]</w:t>
        </w:r>
      </w:hyperlink>
    </w:p>
    <w:p w:rsidR="002E150F" w:rsidRDefault="002E150F" w:rsidP="00A319C0">
      <w:pPr>
        <w:pStyle w:val="NormalWeb"/>
        <w:spacing w:before="0" w:beforeAutospacing="0" w:after="0" w:afterAutospacing="0"/>
      </w:pPr>
      <w:r>
        <w:t xml:space="preserve">It is the only ancient </w:t>
      </w:r>
      <w:r w:rsidRPr="00BF177A">
        <w:t>Egyptian</w:t>
      </w:r>
      <w:r>
        <w:t xml:space="preserve"> </w:t>
      </w:r>
      <w:r w:rsidRPr="00B77702">
        <w:t>city</w:t>
      </w:r>
      <w:r>
        <w:t xml:space="preserve"> which preserves great details of its internal plan, in large part because the city was abandoned after the death of Akhenaten, when Akhenaten's son, King </w:t>
      </w:r>
      <w:r w:rsidRPr="00B77702">
        <w:t>Tutankhamun</w:t>
      </w:r>
      <w:r>
        <w:t xml:space="preserve">, decided to leave the city and return to his birthplace in Thebes (modern Luxor). The city seems to have remained active for a decade or so after his death, and a shrine to </w:t>
      </w:r>
      <w:proofErr w:type="spellStart"/>
      <w:r w:rsidRPr="00B77702">
        <w:t>Horemheb</w:t>
      </w:r>
      <w:proofErr w:type="spellEnd"/>
      <w:r>
        <w:t xml:space="preserve"> indicates that it was at least partially occupied at the beginning of his reign,</w:t>
      </w:r>
      <w:hyperlink r:id="rId13" w:anchor="cite_note-kemp-11" w:history="1">
        <w:r>
          <w:rPr>
            <w:rStyle w:val="Hyperlink"/>
            <w:vertAlign w:val="superscript"/>
          </w:rPr>
          <w:t>[11]</w:t>
        </w:r>
      </w:hyperlink>
      <w:r>
        <w:t xml:space="preserve"> if only as a source for building material elsewhere. Once it was abandoned it remained uninhabited until Roman settlement</w:t>
      </w:r>
      <w:hyperlink r:id="rId14" w:anchor="cite_note-roman-4" w:history="1">
        <w:r>
          <w:rPr>
            <w:rStyle w:val="Hyperlink"/>
            <w:vertAlign w:val="superscript"/>
          </w:rPr>
          <w:t>[4]</w:t>
        </w:r>
      </w:hyperlink>
      <w:r>
        <w:t xml:space="preserve"> began along the edge of the Nile. </w:t>
      </w:r>
    </w:p>
    <w:p w:rsidR="002E150F" w:rsidRDefault="002E150F" w:rsidP="00A319C0">
      <w:pPr>
        <w:spacing w:after="0"/>
        <w:rPr>
          <w:b/>
          <w:bCs/>
        </w:rPr>
      </w:pPr>
    </w:p>
    <w:p w:rsidR="002E150F" w:rsidRDefault="002E150F" w:rsidP="00A319C0">
      <w:pPr>
        <w:spacing w:after="0"/>
        <w:rPr>
          <w:b/>
          <w:bCs/>
        </w:rPr>
      </w:pPr>
      <w:r>
        <w:rPr>
          <w:b/>
          <w:bCs/>
        </w:rPr>
        <w:t>References:</w:t>
      </w:r>
    </w:p>
    <w:p w:rsidR="002E150F" w:rsidRDefault="00BF177A" w:rsidP="00A319C0">
      <w:pPr>
        <w:spacing w:after="0" w:line="240" w:lineRule="auto"/>
        <w:rPr>
          <w:rFonts w:eastAsia="Times New Roman"/>
        </w:rPr>
      </w:pPr>
      <w:proofErr w:type="spellStart"/>
      <w:r w:rsidRPr="00BF177A">
        <w:rPr>
          <w:rFonts w:eastAsia="Times New Roman"/>
          <w:iCs/>
        </w:rPr>
        <w:t>Aldred</w:t>
      </w:r>
      <w:proofErr w:type="spellEnd"/>
      <w:r w:rsidRPr="00BF177A">
        <w:rPr>
          <w:rFonts w:eastAsia="Times New Roman"/>
          <w:iCs/>
        </w:rPr>
        <w:t>, Cyril. 1988</w:t>
      </w:r>
      <w:r w:rsidR="002E150F" w:rsidRPr="00BF177A">
        <w:rPr>
          <w:rFonts w:eastAsia="Times New Roman"/>
          <w:iCs/>
        </w:rPr>
        <w:t>.</w:t>
      </w:r>
      <w:r w:rsidR="002E150F" w:rsidRPr="00B77702">
        <w:rPr>
          <w:rFonts w:eastAsia="Times New Roman"/>
          <w:i/>
          <w:iCs/>
        </w:rPr>
        <w:t xml:space="preserve"> Akhenaten: King of Egypt. </w:t>
      </w:r>
      <w:r w:rsidR="002E150F" w:rsidRPr="00BF177A">
        <w:rPr>
          <w:rFonts w:eastAsia="Times New Roman"/>
          <w:iCs/>
        </w:rPr>
        <w:t>London: Thames and Hudson</w:t>
      </w:r>
      <w:r w:rsidR="002E150F" w:rsidRPr="00B77702">
        <w:rPr>
          <w:rFonts w:eastAsia="Times New Roman"/>
          <w:i/>
          <w:iCs/>
        </w:rPr>
        <w:t xml:space="preserve">. </w:t>
      </w:r>
    </w:p>
    <w:p w:rsidR="00F86291" w:rsidRDefault="00F86291" w:rsidP="00A319C0">
      <w:pPr>
        <w:spacing w:after="0" w:line="240" w:lineRule="auto"/>
        <w:rPr>
          <w:rFonts w:eastAsia="Times New Roman"/>
        </w:rPr>
      </w:pPr>
      <w:r>
        <w:t>Anon. 2000. “</w:t>
      </w:r>
      <w:hyperlink r:id="rId15" w:history="1">
        <w:r w:rsidRPr="00F86291">
          <w:rPr>
            <w:rStyle w:val="Hyperlink"/>
            <w:iCs/>
            <w:u w:val="none"/>
          </w:rPr>
          <w:t>KV 55 Mummy &amp; Tutankhamen</w:t>
        </w:r>
        <w:r>
          <w:rPr>
            <w:rStyle w:val="Hyperlink"/>
            <w:i/>
            <w:iCs/>
          </w:rPr>
          <w:t>"</w:t>
        </w:r>
      </w:hyperlink>
      <w:r>
        <w:rPr>
          <w:rStyle w:val="HTMLCite"/>
        </w:rPr>
        <w:t>. Anubis</w:t>
      </w:r>
      <w:r w:rsidR="00BF177A">
        <w:rPr>
          <w:rStyle w:val="HTMLCite"/>
        </w:rPr>
        <w:t xml:space="preserve"> </w:t>
      </w:r>
      <w:r>
        <w:rPr>
          <w:rStyle w:val="HTMLCite"/>
        </w:rPr>
        <w:t>4</w:t>
      </w:r>
      <w:r w:rsidR="00BF177A">
        <w:rPr>
          <w:rStyle w:val="HTMLCite"/>
        </w:rPr>
        <w:t>(</w:t>
      </w:r>
      <w:proofErr w:type="gramStart"/>
      <w:r w:rsidR="00BF177A">
        <w:rPr>
          <w:rStyle w:val="HTMLCite"/>
        </w:rPr>
        <w:t>2000)</w:t>
      </w:r>
      <w:r>
        <w:rPr>
          <w:rStyle w:val="HTMLCite"/>
        </w:rPr>
        <w:t>tripod.com</w:t>
      </w:r>
      <w:proofErr w:type="gramEnd"/>
    </w:p>
    <w:p w:rsidR="00F86291" w:rsidRPr="00F86291" w:rsidRDefault="00F86291" w:rsidP="00A319C0">
      <w:pPr>
        <w:spacing w:after="0" w:line="240" w:lineRule="auto"/>
        <w:rPr>
          <w:rFonts w:eastAsia="Times New Roman"/>
        </w:rPr>
      </w:pPr>
      <w:r w:rsidRPr="00F86291">
        <w:rPr>
          <w:rStyle w:val="HTMLCite"/>
          <w:i w:val="0"/>
        </w:rPr>
        <w:t>Anon. 2010.</w:t>
      </w:r>
      <w:hyperlink r:id="rId16" w:history="1">
        <w:r w:rsidRPr="00F86291">
          <w:rPr>
            <w:rStyle w:val="Hyperlink"/>
            <w:iCs/>
            <w:u w:val="none"/>
          </w:rPr>
          <w:t>"News from the Valley of the Kings: DNA Shows that KV55 Mummy Probably Not Akhenaten"</w:t>
        </w:r>
      </w:hyperlink>
    </w:p>
    <w:p w:rsidR="002E150F" w:rsidRPr="00B77702" w:rsidRDefault="00BF177A" w:rsidP="00A319C0">
      <w:pPr>
        <w:spacing w:after="0" w:line="240" w:lineRule="auto"/>
        <w:rPr>
          <w:rFonts w:eastAsia="Times New Roman"/>
        </w:rPr>
      </w:pPr>
      <w:r>
        <w:rPr>
          <w:rFonts w:eastAsia="Times New Roman"/>
          <w:iCs/>
        </w:rPr>
        <w:lastRenderedPageBreak/>
        <w:t>David, Rosalie. 1998</w:t>
      </w:r>
      <w:r w:rsidR="002E150F" w:rsidRPr="00BF177A">
        <w:rPr>
          <w:rFonts w:eastAsia="Times New Roman"/>
          <w:iCs/>
        </w:rPr>
        <w:t>.</w:t>
      </w:r>
      <w:r w:rsidR="002E150F" w:rsidRPr="00B77702">
        <w:rPr>
          <w:rFonts w:eastAsia="Times New Roman"/>
          <w:i/>
          <w:iCs/>
        </w:rPr>
        <w:t xml:space="preserve"> Handbook to Life in Ancient Egypt. </w:t>
      </w:r>
      <w:r>
        <w:rPr>
          <w:rFonts w:eastAsia="Times New Roman"/>
          <w:iCs/>
        </w:rPr>
        <w:t>New Yor</w:t>
      </w:r>
      <w:r w:rsidRPr="00BF177A">
        <w:rPr>
          <w:rFonts w:eastAsia="Times New Roman"/>
          <w:iCs/>
        </w:rPr>
        <w:t xml:space="preserve">k: </w:t>
      </w:r>
      <w:r w:rsidR="002E150F" w:rsidRPr="00BF177A">
        <w:rPr>
          <w:rFonts w:eastAsia="Times New Roman"/>
          <w:iCs/>
        </w:rPr>
        <w:t>Facts on File</w:t>
      </w:r>
      <w:r w:rsidR="002E150F" w:rsidRPr="00B77702">
        <w:rPr>
          <w:rFonts w:eastAsia="Times New Roman"/>
          <w:i/>
          <w:iCs/>
        </w:rPr>
        <w:t>.</w:t>
      </w:r>
      <w:r w:rsidR="002E150F" w:rsidRPr="00B77702">
        <w:rPr>
          <w:rFonts w:eastAsia="Times New Roman"/>
        </w:rPr>
        <w:t xml:space="preserve"> </w:t>
      </w:r>
    </w:p>
    <w:p w:rsidR="002E150F" w:rsidRPr="00B77702" w:rsidRDefault="00BF177A" w:rsidP="00A319C0">
      <w:pPr>
        <w:spacing w:after="0" w:line="240" w:lineRule="auto"/>
        <w:rPr>
          <w:rFonts w:eastAsia="Times New Roman"/>
        </w:rPr>
      </w:pPr>
      <w:r w:rsidRPr="00BF177A">
        <w:rPr>
          <w:rFonts w:eastAsia="Times New Roman"/>
          <w:iCs/>
        </w:rPr>
        <w:t xml:space="preserve">de </w:t>
      </w:r>
      <w:proofErr w:type="spellStart"/>
      <w:r w:rsidRPr="00BF177A">
        <w:rPr>
          <w:rFonts w:eastAsia="Times New Roman"/>
          <w:iCs/>
        </w:rPr>
        <w:t>Garis</w:t>
      </w:r>
      <w:proofErr w:type="spellEnd"/>
      <w:r w:rsidRPr="00BF177A">
        <w:rPr>
          <w:rFonts w:eastAsia="Times New Roman"/>
          <w:iCs/>
        </w:rPr>
        <w:t xml:space="preserve"> Davies, Norman</w:t>
      </w:r>
      <w:r w:rsidR="002E150F" w:rsidRPr="00BF177A">
        <w:rPr>
          <w:rFonts w:eastAsia="Times New Roman"/>
          <w:iCs/>
        </w:rPr>
        <w:t>.</w:t>
      </w:r>
      <w:r w:rsidRPr="00BF177A">
        <w:rPr>
          <w:rFonts w:eastAsia="Times New Roman"/>
          <w:iCs/>
        </w:rPr>
        <w:t xml:space="preserve"> 1903–1908</w:t>
      </w:r>
      <w:r>
        <w:rPr>
          <w:rFonts w:eastAsia="Times New Roman"/>
          <w:i/>
          <w:iCs/>
        </w:rPr>
        <w:t>.</w:t>
      </w:r>
      <w:r w:rsidR="002E150F" w:rsidRPr="00B77702">
        <w:rPr>
          <w:rFonts w:eastAsia="Times New Roman"/>
          <w:i/>
          <w:iCs/>
        </w:rPr>
        <w:t xml:space="preserve"> The Rock Tombs of El Amarna. Part 1–6. London: EES.</w:t>
      </w:r>
      <w:r w:rsidR="002E150F" w:rsidRPr="00B77702">
        <w:rPr>
          <w:rFonts w:eastAsia="Times New Roman"/>
        </w:rPr>
        <w:t xml:space="preserve"> </w:t>
      </w:r>
    </w:p>
    <w:p w:rsidR="002E150F" w:rsidRPr="00B77702" w:rsidRDefault="00BF177A" w:rsidP="00A319C0">
      <w:pPr>
        <w:spacing w:after="0" w:line="240" w:lineRule="auto"/>
        <w:rPr>
          <w:rFonts w:eastAsia="Times New Roman"/>
        </w:rPr>
      </w:pPr>
      <w:proofErr w:type="spellStart"/>
      <w:r>
        <w:rPr>
          <w:rFonts w:eastAsia="Times New Roman"/>
        </w:rPr>
        <w:t>Eyma</w:t>
      </w:r>
      <w:proofErr w:type="spellEnd"/>
      <w:r>
        <w:rPr>
          <w:rFonts w:eastAsia="Times New Roman"/>
        </w:rPr>
        <w:t xml:space="preserve">, </w:t>
      </w:r>
      <w:proofErr w:type="spellStart"/>
      <w:r>
        <w:rPr>
          <w:rFonts w:eastAsia="Times New Roman"/>
        </w:rPr>
        <w:t>Aayko</w:t>
      </w:r>
      <w:proofErr w:type="spellEnd"/>
      <w:r>
        <w:rPr>
          <w:rFonts w:eastAsia="Times New Roman"/>
        </w:rPr>
        <w:t>, ed. 2003</w:t>
      </w:r>
      <w:r w:rsidR="002E150F" w:rsidRPr="00B77702">
        <w:rPr>
          <w:rFonts w:eastAsia="Times New Roman"/>
        </w:rPr>
        <w:t xml:space="preserve">. </w:t>
      </w:r>
      <w:r w:rsidR="002E150F" w:rsidRPr="00B77702">
        <w:rPr>
          <w:rFonts w:eastAsia="Times New Roman"/>
          <w:i/>
          <w:iCs/>
        </w:rPr>
        <w:t xml:space="preserve">A Delta-Man in </w:t>
      </w:r>
      <w:proofErr w:type="spellStart"/>
      <w:r w:rsidR="002E150F" w:rsidRPr="00B77702">
        <w:rPr>
          <w:rFonts w:eastAsia="Times New Roman"/>
          <w:i/>
          <w:iCs/>
        </w:rPr>
        <w:t>Yebu</w:t>
      </w:r>
      <w:proofErr w:type="spellEnd"/>
      <w:r w:rsidR="002E150F" w:rsidRPr="00B77702">
        <w:rPr>
          <w:rFonts w:eastAsia="Times New Roman"/>
        </w:rPr>
        <w:t xml:space="preserve">. Universal-Publishers. </w:t>
      </w:r>
    </w:p>
    <w:p w:rsidR="002E150F" w:rsidRPr="00B77702" w:rsidRDefault="002E150F" w:rsidP="00A319C0">
      <w:pPr>
        <w:spacing w:after="0" w:line="240" w:lineRule="auto"/>
        <w:rPr>
          <w:rFonts w:eastAsia="Times New Roman"/>
        </w:rPr>
      </w:pPr>
      <w:proofErr w:type="spellStart"/>
      <w:r w:rsidRPr="00B77702">
        <w:rPr>
          <w:rFonts w:eastAsia="Times New Roman"/>
          <w:i/>
          <w:iCs/>
        </w:rPr>
        <w:t>Grundon</w:t>
      </w:r>
      <w:proofErr w:type="spellEnd"/>
      <w:r w:rsidRPr="00B77702">
        <w:rPr>
          <w:rFonts w:eastAsia="Times New Roman"/>
          <w:i/>
          <w:iCs/>
        </w:rPr>
        <w:t xml:space="preserve">, Imogen (2007). The Rash Adventurer, A Life of John </w:t>
      </w:r>
      <w:proofErr w:type="spellStart"/>
      <w:r w:rsidRPr="00B77702">
        <w:rPr>
          <w:rFonts w:eastAsia="Times New Roman"/>
          <w:i/>
          <w:iCs/>
        </w:rPr>
        <w:t>Pendlebury</w:t>
      </w:r>
      <w:proofErr w:type="spellEnd"/>
      <w:r w:rsidRPr="00B77702">
        <w:rPr>
          <w:rFonts w:eastAsia="Times New Roman"/>
          <w:i/>
          <w:iCs/>
        </w:rPr>
        <w:t xml:space="preserve">. London: </w:t>
      </w:r>
      <w:proofErr w:type="spellStart"/>
      <w:r w:rsidRPr="00B77702">
        <w:rPr>
          <w:rFonts w:eastAsia="Times New Roman"/>
          <w:i/>
          <w:iCs/>
        </w:rPr>
        <w:t>Libri</w:t>
      </w:r>
      <w:proofErr w:type="spellEnd"/>
      <w:r w:rsidRPr="00B77702">
        <w:rPr>
          <w:rFonts w:eastAsia="Times New Roman"/>
          <w:i/>
          <w:iCs/>
        </w:rPr>
        <w:t>.</w:t>
      </w:r>
      <w:r w:rsidRPr="00B77702">
        <w:rPr>
          <w:rFonts w:eastAsia="Times New Roman"/>
        </w:rPr>
        <w:t xml:space="preserve"> </w:t>
      </w:r>
    </w:p>
    <w:p w:rsidR="002E150F" w:rsidRPr="00B77702" w:rsidRDefault="002E150F" w:rsidP="00A319C0">
      <w:pPr>
        <w:spacing w:after="0" w:line="240" w:lineRule="auto"/>
        <w:rPr>
          <w:rFonts w:eastAsia="Times New Roman"/>
        </w:rPr>
      </w:pPr>
      <w:r w:rsidRPr="00B77702">
        <w:rPr>
          <w:rFonts w:eastAsia="Times New Roman"/>
        </w:rPr>
        <w:t xml:space="preserve">Hess, Richard S. (1996). </w:t>
      </w:r>
      <w:r w:rsidRPr="00B77702">
        <w:rPr>
          <w:rFonts w:eastAsia="Times New Roman"/>
          <w:i/>
          <w:iCs/>
        </w:rPr>
        <w:t>Amarna Personal Names</w:t>
      </w:r>
      <w:r w:rsidRPr="00B77702">
        <w:rPr>
          <w:rFonts w:eastAsia="Times New Roman"/>
        </w:rPr>
        <w:t xml:space="preserve">. Winona Lake, IN: Dissertations of the American Schools of Oriental Research - DASOR, 9. </w:t>
      </w:r>
    </w:p>
    <w:p w:rsidR="002E150F" w:rsidRDefault="00BF177A" w:rsidP="00A319C0">
      <w:pPr>
        <w:spacing w:after="0" w:line="240" w:lineRule="auto"/>
        <w:rPr>
          <w:rFonts w:eastAsia="Times New Roman"/>
        </w:rPr>
      </w:pPr>
      <w:r>
        <w:rPr>
          <w:rFonts w:eastAsia="Times New Roman"/>
        </w:rPr>
        <w:t>Kemp, Barry. 2012</w:t>
      </w:r>
      <w:r w:rsidR="002E150F" w:rsidRPr="00B77702">
        <w:rPr>
          <w:rFonts w:eastAsia="Times New Roman"/>
        </w:rPr>
        <w:t xml:space="preserve">. </w:t>
      </w:r>
      <w:r w:rsidR="002E150F" w:rsidRPr="00B77702">
        <w:rPr>
          <w:rFonts w:eastAsia="Times New Roman"/>
          <w:i/>
          <w:iCs/>
        </w:rPr>
        <w:t>The City of Akhenaten and Nefertiti. Amarna and its People</w:t>
      </w:r>
      <w:r w:rsidR="002E150F" w:rsidRPr="00B77702">
        <w:rPr>
          <w:rFonts w:eastAsia="Times New Roman"/>
        </w:rPr>
        <w:t xml:space="preserve">. Thames and Hudson, London. </w:t>
      </w:r>
    </w:p>
    <w:p w:rsidR="00E5645C" w:rsidRPr="00B77702" w:rsidRDefault="00E5645C" w:rsidP="00A319C0">
      <w:pPr>
        <w:spacing w:after="0" w:line="240" w:lineRule="auto"/>
        <w:rPr>
          <w:rFonts w:eastAsia="Times New Roman"/>
        </w:rPr>
      </w:pPr>
      <w:proofErr w:type="spellStart"/>
      <w:r>
        <w:rPr>
          <w:rStyle w:val="reference-text"/>
        </w:rPr>
        <w:t>Manniche</w:t>
      </w:r>
      <w:proofErr w:type="spellEnd"/>
      <w:r>
        <w:rPr>
          <w:rStyle w:val="reference-text"/>
        </w:rPr>
        <w:t xml:space="preserve">, </w:t>
      </w:r>
      <w:proofErr w:type="spellStart"/>
      <w:r>
        <w:rPr>
          <w:rStyle w:val="reference-text"/>
        </w:rPr>
        <w:t>Lise</w:t>
      </w:r>
      <w:proofErr w:type="spellEnd"/>
      <w:r>
        <w:rPr>
          <w:rStyle w:val="reference-text"/>
        </w:rPr>
        <w:t xml:space="preserve">. 2000. </w:t>
      </w:r>
      <w:r>
        <w:rPr>
          <w:rStyle w:val="reference-text"/>
          <w:i/>
          <w:iCs/>
        </w:rPr>
        <w:t xml:space="preserve">Akhenaten Colossi of </w:t>
      </w:r>
      <w:proofErr w:type="spellStart"/>
      <w:r>
        <w:rPr>
          <w:rStyle w:val="reference-text"/>
          <w:i/>
          <w:iCs/>
        </w:rPr>
        <w:t>Karnak</w:t>
      </w:r>
      <w:proofErr w:type="spellEnd"/>
      <w:r>
        <w:rPr>
          <w:rStyle w:val="reference-text"/>
        </w:rPr>
        <w:t>. Cairo: American University in Cairo Press.</w:t>
      </w:r>
    </w:p>
    <w:p w:rsidR="002E150F" w:rsidRPr="00B77702" w:rsidRDefault="00BF177A" w:rsidP="00A319C0">
      <w:pPr>
        <w:spacing w:after="0" w:line="240" w:lineRule="auto"/>
        <w:rPr>
          <w:rFonts w:eastAsia="Times New Roman"/>
        </w:rPr>
      </w:pPr>
      <w:r>
        <w:rPr>
          <w:rFonts w:eastAsia="Times New Roman"/>
          <w:iCs/>
        </w:rPr>
        <w:t>Martin, G. T. 1989.</w:t>
      </w:r>
      <w:r w:rsidR="002E150F" w:rsidRPr="00BF177A">
        <w:rPr>
          <w:rFonts w:eastAsia="Times New Roman"/>
          <w:iCs/>
        </w:rPr>
        <w:t xml:space="preserve"> [1974].</w:t>
      </w:r>
      <w:r w:rsidR="002E150F" w:rsidRPr="00B77702">
        <w:rPr>
          <w:rFonts w:eastAsia="Times New Roman"/>
          <w:i/>
          <w:iCs/>
        </w:rPr>
        <w:t xml:space="preserve"> The Royal Tomb at el-'Amarna. 2 vols. London: EES.</w:t>
      </w:r>
      <w:r w:rsidR="002E150F" w:rsidRPr="00B77702">
        <w:rPr>
          <w:rFonts w:eastAsia="Times New Roman"/>
        </w:rPr>
        <w:t xml:space="preserve"> </w:t>
      </w:r>
    </w:p>
    <w:p w:rsidR="002E150F" w:rsidRDefault="00BF177A" w:rsidP="00A319C0">
      <w:pPr>
        <w:spacing w:after="0" w:line="240" w:lineRule="auto"/>
        <w:rPr>
          <w:rFonts w:eastAsia="Times New Roman"/>
        </w:rPr>
      </w:pPr>
      <w:r>
        <w:rPr>
          <w:rFonts w:eastAsia="Times New Roman"/>
          <w:iCs/>
        </w:rPr>
        <w:t>Moran, William L. 1992</w:t>
      </w:r>
      <w:r w:rsidR="002E150F" w:rsidRPr="00BF177A">
        <w:rPr>
          <w:rFonts w:eastAsia="Times New Roman"/>
          <w:iCs/>
        </w:rPr>
        <w:t>.</w:t>
      </w:r>
      <w:r w:rsidR="002E150F" w:rsidRPr="00B77702">
        <w:rPr>
          <w:rFonts w:eastAsia="Times New Roman"/>
          <w:i/>
          <w:iCs/>
        </w:rPr>
        <w:t xml:space="preserve"> The Amarna Letters. Baltimore: Johns Hopkins University Press. </w:t>
      </w:r>
    </w:p>
    <w:p w:rsidR="00BF177A" w:rsidRDefault="00BF177A" w:rsidP="00A319C0">
      <w:pPr>
        <w:spacing w:after="0" w:line="240" w:lineRule="auto"/>
        <w:rPr>
          <w:rFonts w:eastAsia="Times New Roman"/>
        </w:rPr>
      </w:pPr>
      <w:r>
        <w:rPr>
          <w:rFonts w:eastAsia="Times New Roman"/>
        </w:rPr>
        <w:t xml:space="preserve">Petrie, Sir Flinders. 1899. </w:t>
      </w:r>
      <w:r w:rsidRPr="009B3B0A">
        <w:rPr>
          <w:rStyle w:val="reference-text"/>
          <w:i/>
          <w:iCs/>
          <w:color w:val="222222"/>
        </w:rPr>
        <w:t>History of Egypt</w:t>
      </w:r>
      <w:r>
        <w:rPr>
          <w:rStyle w:val="reference-text"/>
          <w:i/>
          <w:iCs/>
          <w:color w:val="222222"/>
        </w:rPr>
        <w:t>.</w:t>
      </w:r>
      <w:r>
        <w:rPr>
          <w:rStyle w:val="reference-text"/>
          <w:color w:val="222222"/>
        </w:rPr>
        <w:t> London. 2v.</w:t>
      </w:r>
    </w:p>
    <w:p w:rsidR="009B3B0A" w:rsidRPr="009B3B0A" w:rsidRDefault="009B3B0A" w:rsidP="00A319C0">
      <w:pPr>
        <w:pStyle w:val="NormalWeb"/>
        <w:spacing w:before="0" w:beforeAutospacing="0" w:after="0" w:afterAutospacing="0"/>
      </w:pPr>
      <w:r w:rsidRPr="009B3B0A">
        <w:t>Pritchard, James B., ed., </w:t>
      </w:r>
      <w:r w:rsidRPr="009B3B0A">
        <w:rPr>
          <w:i/>
        </w:rPr>
        <w:t>The Ancient Near East – Volume 1: An Anthology of Texts and Pictures</w:t>
      </w:r>
      <w:r>
        <w:t>.</w:t>
      </w:r>
      <w:r w:rsidRPr="009B3B0A">
        <w:t xml:space="preserve"> Princeton, New Jersey: Princeton University Press, 1958, pp. 227-230.):</w:t>
      </w:r>
    </w:p>
    <w:p w:rsidR="009B3B0A" w:rsidRDefault="009B3B0A" w:rsidP="00A319C0">
      <w:pPr>
        <w:spacing w:after="0" w:line="240" w:lineRule="auto"/>
        <w:rPr>
          <w:rFonts w:eastAsia="Times New Roman"/>
        </w:rPr>
      </w:pPr>
    </w:p>
    <w:p w:rsidR="00F86291" w:rsidRPr="00B77702" w:rsidRDefault="00F86291" w:rsidP="00A319C0">
      <w:pPr>
        <w:spacing w:after="0" w:line="240" w:lineRule="auto"/>
        <w:rPr>
          <w:rFonts w:eastAsia="Times New Roman"/>
        </w:rPr>
      </w:pPr>
    </w:p>
    <w:p w:rsidR="002E150F" w:rsidRPr="00B77702" w:rsidRDefault="002E150F" w:rsidP="00A319C0">
      <w:pPr>
        <w:spacing w:after="0" w:line="240" w:lineRule="auto"/>
        <w:rPr>
          <w:rFonts w:eastAsia="Times New Roman"/>
        </w:rPr>
      </w:pPr>
      <w:proofErr w:type="gramStart"/>
      <w:r w:rsidRPr="00B77702">
        <w:rPr>
          <w:rFonts w:eastAsia="Times New Roman" w:hAnsi="Symbol"/>
        </w:rPr>
        <w:t></w:t>
      </w:r>
      <w:r w:rsidRPr="00B77702">
        <w:rPr>
          <w:rFonts w:eastAsia="Times New Roman"/>
        </w:rPr>
        <w:t xml:space="preserve">  </w:t>
      </w:r>
      <w:r w:rsidRPr="00B77702">
        <w:rPr>
          <w:rFonts w:eastAsia="Times New Roman"/>
          <w:i/>
          <w:iCs/>
        </w:rPr>
        <w:t>Redford</w:t>
      </w:r>
      <w:proofErr w:type="gramEnd"/>
      <w:r w:rsidRPr="00B77702">
        <w:rPr>
          <w:rFonts w:eastAsia="Times New Roman"/>
          <w:i/>
          <w:iCs/>
        </w:rPr>
        <w:t>, Donald (1984). Akhenaten: The Heretic King. Princeton.</w:t>
      </w:r>
      <w:r w:rsidRPr="00B77702">
        <w:rPr>
          <w:rFonts w:eastAsia="Times New Roman"/>
        </w:rPr>
        <w:t xml:space="preserve"> </w:t>
      </w:r>
    </w:p>
    <w:p w:rsidR="002E150F" w:rsidRDefault="002E150F" w:rsidP="00A319C0">
      <w:pPr>
        <w:spacing w:after="0"/>
      </w:pPr>
      <w:proofErr w:type="gramStart"/>
      <w:r w:rsidRPr="00B77702">
        <w:rPr>
          <w:rFonts w:eastAsia="Times New Roman" w:hAnsi="Symbol"/>
        </w:rPr>
        <w:t></w:t>
      </w:r>
      <w:r w:rsidRPr="00B77702">
        <w:rPr>
          <w:rFonts w:eastAsia="Times New Roman"/>
        </w:rPr>
        <w:t xml:space="preserve">  </w:t>
      </w:r>
      <w:r w:rsidRPr="00B77702">
        <w:rPr>
          <w:rFonts w:eastAsia="Times New Roman"/>
          <w:i/>
          <w:iCs/>
        </w:rPr>
        <w:t>Waterson</w:t>
      </w:r>
      <w:proofErr w:type="gramEnd"/>
      <w:r w:rsidRPr="00B77702">
        <w:rPr>
          <w:rFonts w:eastAsia="Times New Roman"/>
          <w:i/>
          <w:iCs/>
        </w:rPr>
        <w:t>, Barbara (1999). Amarna: Ancient Egypt's Age of Revolution.</w:t>
      </w:r>
    </w:p>
    <w:p w:rsidR="002E150F" w:rsidRDefault="002E150F" w:rsidP="00A319C0">
      <w:pPr>
        <w:spacing w:after="0"/>
      </w:pPr>
    </w:p>
    <w:p w:rsidR="00A319C0" w:rsidRDefault="00A319C0">
      <w:pPr>
        <w:spacing w:after="0"/>
      </w:pPr>
    </w:p>
    <w:sectPr w:rsidR="00A319C0" w:rsidSect="00A319C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50F"/>
    <w:rsid w:val="000029F6"/>
    <w:rsid w:val="00002ADE"/>
    <w:rsid w:val="0000311B"/>
    <w:rsid w:val="00004588"/>
    <w:rsid w:val="000051F5"/>
    <w:rsid w:val="00007A0B"/>
    <w:rsid w:val="00010426"/>
    <w:rsid w:val="00013FE4"/>
    <w:rsid w:val="00013FF1"/>
    <w:rsid w:val="000140CD"/>
    <w:rsid w:val="00015419"/>
    <w:rsid w:val="00023A53"/>
    <w:rsid w:val="0003100E"/>
    <w:rsid w:val="000325AE"/>
    <w:rsid w:val="00032655"/>
    <w:rsid w:val="00037BFA"/>
    <w:rsid w:val="0004180A"/>
    <w:rsid w:val="00045F2D"/>
    <w:rsid w:val="00050A29"/>
    <w:rsid w:val="00051B0F"/>
    <w:rsid w:val="00054DB5"/>
    <w:rsid w:val="00054EFE"/>
    <w:rsid w:val="000556DC"/>
    <w:rsid w:val="00057591"/>
    <w:rsid w:val="0006067B"/>
    <w:rsid w:val="00061034"/>
    <w:rsid w:val="00064B15"/>
    <w:rsid w:val="00067380"/>
    <w:rsid w:val="000679F9"/>
    <w:rsid w:val="000731D2"/>
    <w:rsid w:val="00074D62"/>
    <w:rsid w:val="000763C9"/>
    <w:rsid w:val="00081D27"/>
    <w:rsid w:val="000840EC"/>
    <w:rsid w:val="000940ED"/>
    <w:rsid w:val="0009767A"/>
    <w:rsid w:val="0009773E"/>
    <w:rsid w:val="000A2F75"/>
    <w:rsid w:val="000A6495"/>
    <w:rsid w:val="000B0FDA"/>
    <w:rsid w:val="000B1C07"/>
    <w:rsid w:val="000B2955"/>
    <w:rsid w:val="000B41D9"/>
    <w:rsid w:val="000B60D4"/>
    <w:rsid w:val="000D25A1"/>
    <w:rsid w:val="000D4A27"/>
    <w:rsid w:val="000D5E5B"/>
    <w:rsid w:val="000D7727"/>
    <w:rsid w:val="000D78AE"/>
    <w:rsid w:val="000E0B38"/>
    <w:rsid w:val="000E348F"/>
    <w:rsid w:val="000E4FE7"/>
    <w:rsid w:val="000E675D"/>
    <w:rsid w:val="000F0388"/>
    <w:rsid w:val="000F1237"/>
    <w:rsid w:val="000F34E5"/>
    <w:rsid w:val="000F445B"/>
    <w:rsid w:val="000F4F34"/>
    <w:rsid w:val="000F54C3"/>
    <w:rsid w:val="00100BE0"/>
    <w:rsid w:val="00101B32"/>
    <w:rsid w:val="00105E27"/>
    <w:rsid w:val="0011445A"/>
    <w:rsid w:val="00116885"/>
    <w:rsid w:val="0012378F"/>
    <w:rsid w:val="00130899"/>
    <w:rsid w:val="00133D11"/>
    <w:rsid w:val="001354BE"/>
    <w:rsid w:val="001378C8"/>
    <w:rsid w:val="001400BD"/>
    <w:rsid w:val="00140610"/>
    <w:rsid w:val="00141783"/>
    <w:rsid w:val="001433B0"/>
    <w:rsid w:val="0014452F"/>
    <w:rsid w:val="00147A24"/>
    <w:rsid w:val="001515C1"/>
    <w:rsid w:val="00151F74"/>
    <w:rsid w:val="0015260D"/>
    <w:rsid w:val="00153E6B"/>
    <w:rsid w:val="0016218E"/>
    <w:rsid w:val="00166CAE"/>
    <w:rsid w:val="00170AFD"/>
    <w:rsid w:val="00172EE0"/>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E668E"/>
    <w:rsid w:val="001F26D0"/>
    <w:rsid w:val="001F30F7"/>
    <w:rsid w:val="001F339F"/>
    <w:rsid w:val="001F3932"/>
    <w:rsid w:val="001F4C35"/>
    <w:rsid w:val="001F7060"/>
    <w:rsid w:val="002061C9"/>
    <w:rsid w:val="00211C5F"/>
    <w:rsid w:val="00216BF7"/>
    <w:rsid w:val="002213A7"/>
    <w:rsid w:val="00225AFA"/>
    <w:rsid w:val="00225EA5"/>
    <w:rsid w:val="00237BDF"/>
    <w:rsid w:val="00241B12"/>
    <w:rsid w:val="00244A57"/>
    <w:rsid w:val="00245C9F"/>
    <w:rsid w:val="002507D6"/>
    <w:rsid w:val="00261E42"/>
    <w:rsid w:val="002620C1"/>
    <w:rsid w:val="002679A9"/>
    <w:rsid w:val="00267D2D"/>
    <w:rsid w:val="002715C9"/>
    <w:rsid w:val="002736F0"/>
    <w:rsid w:val="00280CF6"/>
    <w:rsid w:val="002935C4"/>
    <w:rsid w:val="00295171"/>
    <w:rsid w:val="00295224"/>
    <w:rsid w:val="002A05D3"/>
    <w:rsid w:val="002A2567"/>
    <w:rsid w:val="002A2774"/>
    <w:rsid w:val="002A28BA"/>
    <w:rsid w:val="002A2C9C"/>
    <w:rsid w:val="002A391A"/>
    <w:rsid w:val="002A6916"/>
    <w:rsid w:val="002A7247"/>
    <w:rsid w:val="002B0E62"/>
    <w:rsid w:val="002B4E5B"/>
    <w:rsid w:val="002C0238"/>
    <w:rsid w:val="002C1E0C"/>
    <w:rsid w:val="002C3027"/>
    <w:rsid w:val="002C618F"/>
    <w:rsid w:val="002C7A68"/>
    <w:rsid w:val="002D0F4D"/>
    <w:rsid w:val="002D136F"/>
    <w:rsid w:val="002D2732"/>
    <w:rsid w:val="002E150F"/>
    <w:rsid w:val="002E5355"/>
    <w:rsid w:val="002E75FD"/>
    <w:rsid w:val="002F3518"/>
    <w:rsid w:val="002F57D7"/>
    <w:rsid w:val="002F7F58"/>
    <w:rsid w:val="0030477D"/>
    <w:rsid w:val="003074BF"/>
    <w:rsid w:val="003164B2"/>
    <w:rsid w:val="00326D90"/>
    <w:rsid w:val="00333B5B"/>
    <w:rsid w:val="00334365"/>
    <w:rsid w:val="00336745"/>
    <w:rsid w:val="00343579"/>
    <w:rsid w:val="0035248E"/>
    <w:rsid w:val="003531FC"/>
    <w:rsid w:val="00362165"/>
    <w:rsid w:val="00362E0D"/>
    <w:rsid w:val="00372977"/>
    <w:rsid w:val="003849A2"/>
    <w:rsid w:val="00387877"/>
    <w:rsid w:val="00387921"/>
    <w:rsid w:val="00391E27"/>
    <w:rsid w:val="003935C9"/>
    <w:rsid w:val="003A03A0"/>
    <w:rsid w:val="003A256C"/>
    <w:rsid w:val="003A2C5B"/>
    <w:rsid w:val="003A5B85"/>
    <w:rsid w:val="003A7D75"/>
    <w:rsid w:val="003B1AC4"/>
    <w:rsid w:val="003B28E9"/>
    <w:rsid w:val="003B6B47"/>
    <w:rsid w:val="003C0493"/>
    <w:rsid w:val="003C0A35"/>
    <w:rsid w:val="003C1810"/>
    <w:rsid w:val="003C3A9A"/>
    <w:rsid w:val="003C461D"/>
    <w:rsid w:val="003E02D1"/>
    <w:rsid w:val="003E2208"/>
    <w:rsid w:val="003E5A3E"/>
    <w:rsid w:val="0040068A"/>
    <w:rsid w:val="0040209D"/>
    <w:rsid w:val="00405957"/>
    <w:rsid w:val="00406E32"/>
    <w:rsid w:val="004075CC"/>
    <w:rsid w:val="0041027E"/>
    <w:rsid w:val="0041771B"/>
    <w:rsid w:val="00417F59"/>
    <w:rsid w:val="004210D1"/>
    <w:rsid w:val="00432817"/>
    <w:rsid w:val="004343AB"/>
    <w:rsid w:val="00434E35"/>
    <w:rsid w:val="00434FD0"/>
    <w:rsid w:val="00437D74"/>
    <w:rsid w:val="004405FF"/>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54B1"/>
    <w:rsid w:val="004B03BC"/>
    <w:rsid w:val="004B4AE0"/>
    <w:rsid w:val="004B572D"/>
    <w:rsid w:val="004B70AD"/>
    <w:rsid w:val="004D3F1C"/>
    <w:rsid w:val="004D70FD"/>
    <w:rsid w:val="004E5DA2"/>
    <w:rsid w:val="004E6934"/>
    <w:rsid w:val="004F1045"/>
    <w:rsid w:val="004F2902"/>
    <w:rsid w:val="004F44DD"/>
    <w:rsid w:val="004F6A30"/>
    <w:rsid w:val="00500CFF"/>
    <w:rsid w:val="00500EF5"/>
    <w:rsid w:val="005010D4"/>
    <w:rsid w:val="00506D9D"/>
    <w:rsid w:val="005074DC"/>
    <w:rsid w:val="0051248A"/>
    <w:rsid w:val="00513F9E"/>
    <w:rsid w:val="00514190"/>
    <w:rsid w:val="00515AC7"/>
    <w:rsid w:val="00521D2F"/>
    <w:rsid w:val="00526AB5"/>
    <w:rsid w:val="00526ADD"/>
    <w:rsid w:val="00526F36"/>
    <w:rsid w:val="00533143"/>
    <w:rsid w:val="005363FC"/>
    <w:rsid w:val="005403D1"/>
    <w:rsid w:val="0054370C"/>
    <w:rsid w:val="00544D0E"/>
    <w:rsid w:val="00547314"/>
    <w:rsid w:val="005531E0"/>
    <w:rsid w:val="0055605E"/>
    <w:rsid w:val="00557DDD"/>
    <w:rsid w:val="00565A06"/>
    <w:rsid w:val="005715CF"/>
    <w:rsid w:val="00573D69"/>
    <w:rsid w:val="00574665"/>
    <w:rsid w:val="00585872"/>
    <w:rsid w:val="0058696B"/>
    <w:rsid w:val="0059079B"/>
    <w:rsid w:val="00594CA7"/>
    <w:rsid w:val="005958BF"/>
    <w:rsid w:val="005A281C"/>
    <w:rsid w:val="005A584A"/>
    <w:rsid w:val="005A593C"/>
    <w:rsid w:val="005A7B0E"/>
    <w:rsid w:val="005B2F70"/>
    <w:rsid w:val="005B6C82"/>
    <w:rsid w:val="005B6E02"/>
    <w:rsid w:val="005C25CA"/>
    <w:rsid w:val="005C370F"/>
    <w:rsid w:val="005C3BA8"/>
    <w:rsid w:val="005C6F13"/>
    <w:rsid w:val="005D029D"/>
    <w:rsid w:val="005D08EA"/>
    <w:rsid w:val="005D1989"/>
    <w:rsid w:val="005D2ADF"/>
    <w:rsid w:val="005D55B5"/>
    <w:rsid w:val="005D6837"/>
    <w:rsid w:val="005D7E85"/>
    <w:rsid w:val="005E137C"/>
    <w:rsid w:val="005E46EE"/>
    <w:rsid w:val="005E54DD"/>
    <w:rsid w:val="005E74D6"/>
    <w:rsid w:val="005E7569"/>
    <w:rsid w:val="005F3D87"/>
    <w:rsid w:val="005F4A89"/>
    <w:rsid w:val="005F5494"/>
    <w:rsid w:val="005F5841"/>
    <w:rsid w:val="0060069B"/>
    <w:rsid w:val="00601358"/>
    <w:rsid w:val="0060280A"/>
    <w:rsid w:val="00602F0F"/>
    <w:rsid w:val="0060666B"/>
    <w:rsid w:val="00606CC0"/>
    <w:rsid w:val="00610A8D"/>
    <w:rsid w:val="00610FEA"/>
    <w:rsid w:val="00622C65"/>
    <w:rsid w:val="00630C35"/>
    <w:rsid w:val="00635C2C"/>
    <w:rsid w:val="00643B4E"/>
    <w:rsid w:val="00644D5E"/>
    <w:rsid w:val="00654273"/>
    <w:rsid w:val="006570FE"/>
    <w:rsid w:val="00657333"/>
    <w:rsid w:val="006579D5"/>
    <w:rsid w:val="00657BC9"/>
    <w:rsid w:val="00660C59"/>
    <w:rsid w:val="006614E7"/>
    <w:rsid w:val="00661BE5"/>
    <w:rsid w:val="006741E9"/>
    <w:rsid w:val="006841E3"/>
    <w:rsid w:val="0068769B"/>
    <w:rsid w:val="00691E1B"/>
    <w:rsid w:val="00692AA7"/>
    <w:rsid w:val="006B1AC6"/>
    <w:rsid w:val="006C067D"/>
    <w:rsid w:val="006C1321"/>
    <w:rsid w:val="006C172A"/>
    <w:rsid w:val="006C20D7"/>
    <w:rsid w:val="006C33A7"/>
    <w:rsid w:val="006C52B4"/>
    <w:rsid w:val="006C6BCC"/>
    <w:rsid w:val="006D291C"/>
    <w:rsid w:val="006D3BB1"/>
    <w:rsid w:val="006D4516"/>
    <w:rsid w:val="006D6DE5"/>
    <w:rsid w:val="006E0D1B"/>
    <w:rsid w:val="006E6804"/>
    <w:rsid w:val="006E6DF9"/>
    <w:rsid w:val="006E763F"/>
    <w:rsid w:val="006E787E"/>
    <w:rsid w:val="006F3D11"/>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6A94"/>
    <w:rsid w:val="00773E45"/>
    <w:rsid w:val="00785A24"/>
    <w:rsid w:val="00787C6D"/>
    <w:rsid w:val="00791416"/>
    <w:rsid w:val="007A3F04"/>
    <w:rsid w:val="007A5964"/>
    <w:rsid w:val="007A72C0"/>
    <w:rsid w:val="007A7E21"/>
    <w:rsid w:val="007B15DF"/>
    <w:rsid w:val="007B4241"/>
    <w:rsid w:val="007C6E6A"/>
    <w:rsid w:val="007D4BF7"/>
    <w:rsid w:val="007F1058"/>
    <w:rsid w:val="007F328F"/>
    <w:rsid w:val="00803893"/>
    <w:rsid w:val="00807DC1"/>
    <w:rsid w:val="00810912"/>
    <w:rsid w:val="008118BE"/>
    <w:rsid w:val="00812C73"/>
    <w:rsid w:val="008130B6"/>
    <w:rsid w:val="00816564"/>
    <w:rsid w:val="00817D3B"/>
    <w:rsid w:val="00824D87"/>
    <w:rsid w:val="00827601"/>
    <w:rsid w:val="00832335"/>
    <w:rsid w:val="00832A6F"/>
    <w:rsid w:val="008332AE"/>
    <w:rsid w:val="00840071"/>
    <w:rsid w:val="00844756"/>
    <w:rsid w:val="00846546"/>
    <w:rsid w:val="00847E6F"/>
    <w:rsid w:val="008523ED"/>
    <w:rsid w:val="008534AB"/>
    <w:rsid w:val="00857356"/>
    <w:rsid w:val="00873B98"/>
    <w:rsid w:val="00876FF1"/>
    <w:rsid w:val="00880CB9"/>
    <w:rsid w:val="00882772"/>
    <w:rsid w:val="0088661E"/>
    <w:rsid w:val="00886D0D"/>
    <w:rsid w:val="008902D5"/>
    <w:rsid w:val="0089303B"/>
    <w:rsid w:val="008A5FFE"/>
    <w:rsid w:val="008B0CC5"/>
    <w:rsid w:val="008C4C70"/>
    <w:rsid w:val="008F0F5F"/>
    <w:rsid w:val="008F382A"/>
    <w:rsid w:val="008F397D"/>
    <w:rsid w:val="009021C3"/>
    <w:rsid w:val="00913238"/>
    <w:rsid w:val="0091697D"/>
    <w:rsid w:val="00924591"/>
    <w:rsid w:val="009245E7"/>
    <w:rsid w:val="00934EF0"/>
    <w:rsid w:val="009356AB"/>
    <w:rsid w:val="00935DC5"/>
    <w:rsid w:val="00937DC7"/>
    <w:rsid w:val="00941002"/>
    <w:rsid w:val="009466B0"/>
    <w:rsid w:val="00956792"/>
    <w:rsid w:val="009572F6"/>
    <w:rsid w:val="00960FCD"/>
    <w:rsid w:val="00962E59"/>
    <w:rsid w:val="009662D3"/>
    <w:rsid w:val="009667F4"/>
    <w:rsid w:val="009728F2"/>
    <w:rsid w:val="009751A9"/>
    <w:rsid w:val="00976101"/>
    <w:rsid w:val="0098730F"/>
    <w:rsid w:val="00994028"/>
    <w:rsid w:val="00994034"/>
    <w:rsid w:val="00997EF2"/>
    <w:rsid w:val="009A0148"/>
    <w:rsid w:val="009A2413"/>
    <w:rsid w:val="009A3573"/>
    <w:rsid w:val="009A3946"/>
    <w:rsid w:val="009B0B5D"/>
    <w:rsid w:val="009B2658"/>
    <w:rsid w:val="009B3B0A"/>
    <w:rsid w:val="009B439C"/>
    <w:rsid w:val="009B5387"/>
    <w:rsid w:val="009B67BC"/>
    <w:rsid w:val="009C0173"/>
    <w:rsid w:val="009C3042"/>
    <w:rsid w:val="009C7233"/>
    <w:rsid w:val="009D199B"/>
    <w:rsid w:val="009D2124"/>
    <w:rsid w:val="009D360D"/>
    <w:rsid w:val="009D38DD"/>
    <w:rsid w:val="009D4AF1"/>
    <w:rsid w:val="009D5FAB"/>
    <w:rsid w:val="009D64D6"/>
    <w:rsid w:val="009D7424"/>
    <w:rsid w:val="009E0726"/>
    <w:rsid w:val="009E0C8A"/>
    <w:rsid w:val="009E163C"/>
    <w:rsid w:val="009E1EC6"/>
    <w:rsid w:val="009E6FAE"/>
    <w:rsid w:val="009F5BA3"/>
    <w:rsid w:val="00A00008"/>
    <w:rsid w:val="00A01B7E"/>
    <w:rsid w:val="00A02430"/>
    <w:rsid w:val="00A03CA7"/>
    <w:rsid w:val="00A05A14"/>
    <w:rsid w:val="00A10376"/>
    <w:rsid w:val="00A10DDE"/>
    <w:rsid w:val="00A139E5"/>
    <w:rsid w:val="00A156BC"/>
    <w:rsid w:val="00A15BC9"/>
    <w:rsid w:val="00A16DE7"/>
    <w:rsid w:val="00A2029A"/>
    <w:rsid w:val="00A2539A"/>
    <w:rsid w:val="00A256DC"/>
    <w:rsid w:val="00A27ACD"/>
    <w:rsid w:val="00A319C0"/>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5A84"/>
    <w:rsid w:val="00A87AE9"/>
    <w:rsid w:val="00A92EE6"/>
    <w:rsid w:val="00A9363B"/>
    <w:rsid w:val="00A96311"/>
    <w:rsid w:val="00AA1BA8"/>
    <w:rsid w:val="00AA5B10"/>
    <w:rsid w:val="00AB0266"/>
    <w:rsid w:val="00AB46DA"/>
    <w:rsid w:val="00AB5331"/>
    <w:rsid w:val="00AB70CB"/>
    <w:rsid w:val="00AC1122"/>
    <w:rsid w:val="00AC20C2"/>
    <w:rsid w:val="00AC461F"/>
    <w:rsid w:val="00AC6715"/>
    <w:rsid w:val="00AD2981"/>
    <w:rsid w:val="00AD2ECF"/>
    <w:rsid w:val="00AD5D03"/>
    <w:rsid w:val="00AD7CBE"/>
    <w:rsid w:val="00AE1156"/>
    <w:rsid w:val="00AF1656"/>
    <w:rsid w:val="00AF1B5C"/>
    <w:rsid w:val="00AF236F"/>
    <w:rsid w:val="00AF2711"/>
    <w:rsid w:val="00AF46BE"/>
    <w:rsid w:val="00AF5627"/>
    <w:rsid w:val="00B01DA8"/>
    <w:rsid w:val="00B04C6E"/>
    <w:rsid w:val="00B064B2"/>
    <w:rsid w:val="00B074C7"/>
    <w:rsid w:val="00B078C6"/>
    <w:rsid w:val="00B114D7"/>
    <w:rsid w:val="00B11822"/>
    <w:rsid w:val="00B11B49"/>
    <w:rsid w:val="00B130E1"/>
    <w:rsid w:val="00B14E0A"/>
    <w:rsid w:val="00B30022"/>
    <w:rsid w:val="00B30145"/>
    <w:rsid w:val="00B32140"/>
    <w:rsid w:val="00B32515"/>
    <w:rsid w:val="00B3518D"/>
    <w:rsid w:val="00B41C6B"/>
    <w:rsid w:val="00B4235B"/>
    <w:rsid w:val="00B4525D"/>
    <w:rsid w:val="00B46205"/>
    <w:rsid w:val="00B46C25"/>
    <w:rsid w:val="00B5407E"/>
    <w:rsid w:val="00B55317"/>
    <w:rsid w:val="00B55BF3"/>
    <w:rsid w:val="00B6256D"/>
    <w:rsid w:val="00B648E5"/>
    <w:rsid w:val="00B70A8E"/>
    <w:rsid w:val="00B72484"/>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3EAF"/>
    <w:rsid w:val="00BD5610"/>
    <w:rsid w:val="00BD6C50"/>
    <w:rsid w:val="00BE311D"/>
    <w:rsid w:val="00BE3905"/>
    <w:rsid w:val="00BE3BE5"/>
    <w:rsid w:val="00BE4116"/>
    <w:rsid w:val="00BE5529"/>
    <w:rsid w:val="00BF177A"/>
    <w:rsid w:val="00BF4F3D"/>
    <w:rsid w:val="00C00CED"/>
    <w:rsid w:val="00C0411D"/>
    <w:rsid w:val="00C06500"/>
    <w:rsid w:val="00C068AF"/>
    <w:rsid w:val="00C1070D"/>
    <w:rsid w:val="00C133DE"/>
    <w:rsid w:val="00C15F02"/>
    <w:rsid w:val="00C265A3"/>
    <w:rsid w:val="00C32F26"/>
    <w:rsid w:val="00C34618"/>
    <w:rsid w:val="00C35779"/>
    <w:rsid w:val="00C434CD"/>
    <w:rsid w:val="00C51070"/>
    <w:rsid w:val="00C52C07"/>
    <w:rsid w:val="00C536B4"/>
    <w:rsid w:val="00C53AB2"/>
    <w:rsid w:val="00C53F22"/>
    <w:rsid w:val="00C57084"/>
    <w:rsid w:val="00C61CAA"/>
    <w:rsid w:val="00C63BC1"/>
    <w:rsid w:val="00C63D50"/>
    <w:rsid w:val="00C64A3C"/>
    <w:rsid w:val="00C75E21"/>
    <w:rsid w:val="00C8755B"/>
    <w:rsid w:val="00C9158C"/>
    <w:rsid w:val="00C93373"/>
    <w:rsid w:val="00C94A70"/>
    <w:rsid w:val="00C96D78"/>
    <w:rsid w:val="00CA0AC0"/>
    <w:rsid w:val="00CA2BB5"/>
    <w:rsid w:val="00CA3B14"/>
    <w:rsid w:val="00CA4371"/>
    <w:rsid w:val="00CB775D"/>
    <w:rsid w:val="00CC5976"/>
    <w:rsid w:val="00CD4ABF"/>
    <w:rsid w:val="00CE7085"/>
    <w:rsid w:val="00CF05AB"/>
    <w:rsid w:val="00CF08C7"/>
    <w:rsid w:val="00CF127E"/>
    <w:rsid w:val="00CF3CFF"/>
    <w:rsid w:val="00CF3E4E"/>
    <w:rsid w:val="00CF4D6F"/>
    <w:rsid w:val="00D02452"/>
    <w:rsid w:val="00D0510E"/>
    <w:rsid w:val="00D067AE"/>
    <w:rsid w:val="00D23B6C"/>
    <w:rsid w:val="00D3001A"/>
    <w:rsid w:val="00D430AC"/>
    <w:rsid w:val="00D43AFA"/>
    <w:rsid w:val="00D47D13"/>
    <w:rsid w:val="00D50967"/>
    <w:rsid w:val="00D5291C"/>
    <w:rsid w:val="00D55A83"/>
    <w:rsid w:val="00D57086"/>
    <w:rsid w:val="00D57E3E"/>
    <w:rsid w:val="00D61739"/>
    <w:rsid w:val="00D63E92"/>
    <w:rsid w:val="00D76354"/>
    <w:rsid w:val="00D82D8C"/>
    <w:rsid w:val="00D85A69"/>
    <w:rsid w:val="00D90BEA"/>
    <w:rsid w:val="00D925BC"/>
    <w:rsid w:val="00D95D21"/>
    <w:rsid w:val="00D96C98"/>
    <w:rsid w:val="00DA37A7"/>
    <w:rsid w:val="00DA7015"/>
    <w:rsid w:val="00DB07D8"/>
    <w:rsid w:val="00DB26EE"/>
    <w:rsid w:val="00DB2B26"/>
    <w:rsid w:val="00DB45B8"/>
    <w:rsid w:val="00DB4CE3"/>
    <w:rsid w:val="00DB5FEA"/>
    <w:rsid w:val="00DB5FEF"/>
    <w:rsid w:val="00DC2B7A"/>
    <w:rsid w:val="00DC5202"/>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37B54"/>
    <w:rsid w:val="00E4233F"/>
    <w:rsid w:val="00E43705"/>
    <w:rsid w:val="00E44261"/>
    <w:rsid w:val="00E54521"/>
    <w:rsid w:val="00E5645C"/>
    <w:rsid w:val="00E6204C"/>
    <w:rsid w:val="00E629A4"/>
    <w:rsid w:val="00E6415F"/>
    <w:rsid w:val="00E7189D"/>
    <w:rsid w:val="00E74C63"/>
    <w:rsid w:val="00E74D59"/>
    <w:rsid w:val="00E82913"/>
    <w:rsid w:val="00E84529"/>
    <w:rsid w:val="00E868B6"/>
    <w:rsid w:val="00E91D5E"/>
    <w:rsid w:val="00EA096C"/>
    <w:rsid w:val="00EA1731"/>
    <w:rsid w:val="00EA3C79"/>
    <w:rsid w:val="00EA6037"/>
    <w:rsid w:val="00EA6555"/>
    <w:rsid w:val="00EA765B"/>
    <w:rsid w:val="00EB4D69"/>
    <w:rsid w:val="00EB5928"/>
    <w:rsid w:val="00EB684C"/>
    <w:rsid w:val="00EC4D94"/>
    <w:rsid w:val="00EC7318"/>
    <w:rsid w:val="00ED0726"/>
    <w:rsid w:val="00ED2068"/>
    <w:rsid w:val="00ED396F"/>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33EF9"/>
    <w:rsid w:val="00F450FA"/>
    <w:rsid w:val="00F50644"/>
    <w:rsid w:val="00F51F90"/>
    <w:rsid w:val="00F55B4C"/>
    <w:rsid w:val="00F646CF"/>
    <w:rsid w:val="00F737B0"/>
    <w:rsid w:val="00F745EE"/>
    <w:rsid w:val="00F7597C"/>
    <w:rsid w:val="00F768BC"/>
    <w:rsid w:val="00F76A9E"/>
    <w:rsid w:val="00F81B99"/>
    <w:rsid w:val="00F81F5E"/>
    <w:rsid w:val="00F86291"/>
    <w:rsid w:val="00F869EC"/>
    <w:rsid w:val="00F97C9D"/>
    <w:rsid w:val="00FA1380"/>
    <w:rsid w:val="00FA1C3A"/>
    <w:rsid w:val="00FA28E4"/>
    <w:rsid w:val="00FA4E20"/>
    <w:rsid w:val="00FA4F9D"/>
    <w:rsid w:val="00FA6C75"/>
    <w:rsid w:val="00FA6F1C"/>
    <w:rsid w:val="00FA7B64"/>
    <w:rsid w:val="00FB08D9"/>
    <w:rsid w:val="00FB0DC0"/>
    <w:rsid w:val="00FB0E79"/>
    <w:rsid w:val="00FB1ACA"/>
    <w:rsid w:val="00FB3D25"/>
    <w:rsid w:val="00FB562B"/>
    <w:rsid w:val="00FB77B8"/>
    <w:rsid w:val="00FB7936"/>
    <w:rsid w:val="00FC0583"/>
    <w:rsid w:val="00FC17A0"/>
    <w:rsid w:val="00FC3C72"/>
    <w:rsid w:val="00FD075C"/>
    <w:rsid w:val="00FD1D6D"/>
    <w:rsid w:val="00FD452B"/>
    <w:rsid w:val="00FD7737"/>
    <w:rsid w:val="00FD7BD3"/>
    <w:rsid w:val="00FE0919"/>
    <w:rsid w:val="00FE2A5C"/>
    <w:rsid w:val="00FE2EF5"/>
    <w:rsid w:val="00FE543A"/>
    <w:rsid w:val="00FE5DE0"/>
    <w:rsid w:val="00FE70D2"/>
    <w:rsid w:val="00FF255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27DD5"/>
  <w15:chartTrackingRefBased/>
  <w15:docId w15:val="{309347CE-430B-4AE7-BAFB-F9723E0F7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5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E150F"/>
    <w:rPr>
      <w:b/>
      <w:bCs/>
    </w:rPr>
  </w:style>
  <w:style w:type="paragraph" w:styleId="NormalWeb">
    <w:name w:val="Normal (Web)"/>
    <w:basedOn w:val="Normal"/>
    <w:uiPriority w:val="99"/>
    <w:unhideWhenUsed/>
    <w:rsid w:val="002E150F"/>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2E150F"/>
    <w:rPr>
      <w:color w:val="0000FF"/>
      <w:u w:val="single"/>
    </w:rPr>
  </w:style>
  <w:style w:type="character" w:customStyle="1" w:styleId="ipa">
    <w:name w:val="ipa"/>
    <w:basedOn w:val="DefaultParagraphFont"/>
    <w:rsid w:val="00622C65"/>
  </w:style>
  <w:style w:type="character" w:styleId="FollowedHyperlink">
    <w:name w:val="FollowedHyperlink"/>
    <w:basedOn w:val="DefaultParagraphFont"/>
    <w:uiPriority w:val="99"/>
    <w:semiHidden/>
    <w:unhideWhenUsed/>
    <w:rsid w:val="00622C65"/>
    <w:rPr>
      <w:color w:val="954F72" w:themeColor="followedHyperlink"/>
      <w:u w:val="single"/>
    </w:rPr>
  </w:style>
  <w:style w:type="character" w:customStyle="1" w:styleId="reference-text">
    <w:name w:val="reference-text"/>
    <w:basedOn w:val="DefaultParagraphFont"/>
    <w:rsid w:val="00E5645C"/>
  </w:style>
  <w:style w:type="character" w:styleId="HTMLCite">
    <w:name w:val="HTML Cite"/>
    <w:basedOn w:val="DefaultParagraphFont"/>
    <w:uiPriority w:val="99"/>
    <w:semiHidden/>
    <w:unhideWhenUsed/>
    <w:rsid w:val="00F86291"/>
    <w:rPr>
      <w:i/>
      <w:iCs/>
    </w:rPr>
  </w:style>
  <w:style w:type="character" w:customStyle="1" w:styleId="reference-accessdate">
    <w:name w:val="reference-accessdate"/>
    <w:basedOn w:val="DefaultParagraphFont"/>
    <w:rsid w:val="00F86291"/>
  </w:style>
  <w:style w:type="character" w:customStyle="1" w:styleId="latitude">
    <w:name w:val="latitude"/>
    <w:basedOn w:val="DefaultParagraphFont"/>
    <w:rsid w:val="002C3027"/>
  </w:style>
  <w:style w:type="character" w:customStyle="1" w:styleId="longitude">
    <w:name w:val="longitude"/>
    <w:basedOn w:val="DefaultParagraphFont"/>
    <w:rsid w:val="002C3027"/>
  </w:style>
  <w:style w:type="character" w:customStyle="1" w:styleId="mw-mmv-source-author">
    <w:name w:val="mw-mmv-source-author"/>
    <w:basedOn w:val="DefaultParagraphFont"/>
    <w:rsid w:val="00A319C0"/>
  </w:style>
  <w:style w:type="character" w:customStyle="1" w:styleId="mw-mmv-author">
    <w:name w:val="mw-mmv-author"/>
    <w:basedOn w:val="DefaultParagraphFont"/>
    <w:rsid w:val="00A319C0"/>
  </w:style>
  <w:style w:type="character" w:customStyle="1" w:styleId="mw-mmv-source">
    <w:name w:val="mw-mmv-source"/>
    <w:basedOn w:val="DefaultParagraphFont"/>
    <w:rsid w:val="00A319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888684">
      <w:bodyDiv w:val="1"/>
      <w:marLeft w:val="0"/>
      <w:marRight w:val="0"/>
      <w:marTop w:val="0"/>
      <w:marBottom w:val="0"/>
      <w:divBdr>
        <w:top w:val="none" w:sz="0" w:space="0" w:color="auto"/>
        <w:left w:val="none" w:sz="0" w:space="0" w:color="auto"/>
        <w:bottom w:val="none" w:sz="0" w:space="0" w:color="auto"/>
        <w:right w:val="none" w:sz="0" w:space="0" w:color="auto"/>
      </w:divBdr>
    </w:div>
    <w:div w:id="1075014109">
      <w:bodyDiv w:val="1"/>
      <w:marLeft w:val="0"/>
      <w:marRight w:val="0"/>
      <w:marTop w:val="0"/>
      <w:marBottom w:val="0"/>
      <w:divBdr>
        <w:top w:val="none" w:sz="0" w:space="0" w:color="auto"/>
        <w:left w:val="none" w:sz="0" w:space="0" w:color="auto"/>
        <w:bottom w:val="none" w:sz="0" w:space="0" w:color="auto"/>
        <w:right w:val="none" w:sz="0" w:space="0" w:color="auto"/>
      </w:divBdr>
    </w:div>
    <w:div w:id="1369143938">
      <w:bodyDiv w:val="1"/>
      <w:marLeft w:val="0"/>
      <w:marRight w:val="0"/>
      <w:marTop w:val="0"/>
      <w:marBottom w:val="0"/>
      <w:divBdr>
        <w:top w:val="none" w:sz="0" w:space="0" w:color="auto"/>
        <w:left w:val="none" w:sz="0" w:space="0" w:color="auto"/>
        <w:bottom w:val="none" w:sz="0" w:space="0" w:color="auto"/>
        <w:right w:val="none" w:sz="0" w:space="0" w:color="auto"/>
      </w:divBdr>
    </w:div>
    <w:div w:id="163343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ofiatopia.org/equiaeon/davies.htm" TargetMode="External"/><Relationship Id="rId13" Type="http://schemas.openxmlformats.org/officeDocument/2006/relationships/hyperlink" Target="https://en.wikipedia.org/wiki/Amarn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en.wikipedia.org/wiki/Amarn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kv64.info/2010/03/dna-shows-that-kv55-mummy-probably-not.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tools.wmflabs.org/geohack/geohack.php?pagename=Amarna&amp;params=27_38_42.71_N_30_53_47.34_E_type:landmark" TargetMode="External"/><Relationship Id="rId5" Type="http://schemas.openxmlformats.org/officeDocument/2006/relationships/image" Target="media/image1.png"/><Relationship Id="rId15" Type="http://schemas.openxmlformats.org/officeDocument/2006/relationships/hyperlink" Target="http://anubis4_2000.tripod.com/mummypages1/18C.ht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Amar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E063D-3A3C-42BD-B39F-D719C54EE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1239</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2019-01-14T18:37:00Z</dcterms:created>
  <dcterms:modified xsi:type="dcterms:W3CDTF">2019-01-14T18:37:00Z</dcterms:modified>
</cp:coreProperties>
</file>