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4.png" ContentType="image/pn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2-Afr-Egy-Statue-Ptah-Chlorite-Dynasty 18-1390-1322 BCE</w:t>
      </w:r>
    </w:p>
    <w:p>
      <w:pPr>
        <w:pStyle w:val="Normal"/>
        <w:rPr/>
      </w:pPr>
      <w:r>
        <w:rPr/>
        <w:drawing>
          <wp:inline distT="0" distB="0" distL="0" distR="0">
            <wp:extent cx="1303020" cy="44951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6" t="-4" r="-16" b="-4"/>
                    <a:stretch>
                      <a:fillRect/>
                    </a:stretch>
                  </pic:blipFill>
                  <pic:spPr bwMode="auto">
                    <a:xfrm>
                      <a:off x="0" y="0"/>
                      <a:ext cx="1303020" cy="4495165"/>
                    </a:xfrm>
                    <a:prstGeom prst="rect">
                      <a:avLst/>
                    </a:prstGeom>
                  </pic:spPr>
                </pic:pic>
              </a:graphicData>
            </a:graphic>
          </wp:inline>
        </w:drawing>
      </w:r>
      <w:r>
        <w:rPr>
          <w:rFonts w:eastAsia="Times New Roman"/>
        </w:rPr>
        <w:t xml:space="preserve"> </w:t>
      </w:r>
      <w:r>
        <w:rPr/>
        <w:drawing>
          <wp:inline distT="0" distB="0" distL="0" distR="0">
            <wp:extent cx="1144905" cy="44386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9" t="-5" r="-19" b="-5"/>
                    <a:stretch>
                      <a:fillRect/>
                    </a:stretch>
                  </pic:blipFill>
                  <pic:spPr bwMode="auto">
                    <a:xfrm>
                      <a:off x="0" y="0"/>
                      <a:ext cx="1144905" cy="4438650"/>
                    </a:xfrm>
                    <a:prstGeom prst="rect">
                      <a:avLst/>
                    </a:prstGeom>
                  </pic:spPr>
                </pic:pic>
              </a:graphicData>
            </a:graphic>
          </wp:inline>
        </w:drawing>
      </w:r>
      <w:r>
        <w:rPr>
          <w:rFonts w:eastAsia="Times New Roman"/>
        </w:rPr>
        <w:t xml:space="preserve"> </w:t>
      </w:r>
      <w:r>
        <w:rPr/>
        <w:drawing>
          <wp:inline distT="0" distB="0" distL="0" distR="0">
            <wp:extent cx="1272540" cy="439928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6" t="-4" r="-16" b="-4"/>
                    <a:stretch>
                      <a:fillRect/>
                    </a:stretch>
                  </pic:blipFill>
                  <pic:spPr bwMode="auto">
                    <a:xfrm>
                      <a:off x="0" y="0"/>
                      <a:ext cx="1272540" cy="4399280"/>
                    </a:xfrm>
                    <a:prstGeom prst="rect">
                      <a:avLst/>
                    </a:prstGeom>
                  </pic:spPr>
                </pic:pic>
              </a:graphicData>
            </a:graphic>
          </wp:inline>
        </w:drawing>
      </w:r>
    </w:p>
    <w:p>
      <w:pPr>
        <w:pStyle w:val="Normal"/>
        <w:rPr/>
      </w:pPr>
      <w:r>
        <w:rPr/>
      </w:r>
    </w:p>
    <w:p>
      <w:pPr>
        <w:pStyle w:val="Normal"/>
        <w:rPr/>
      </w:pPr>
      <w:r>
        <w:rPr/>
      </w:r>
    </w:p>
    <w:p>
      <w:pPr>
        <w:pStyle w:val="Normal"/>
        <w:rPr/>
      </w:pPr>
      <w:r>
        <w:rPr/>
        <w:t>Figurine of Ptah, Memphis, Dynasty 18, reign of Amenhotep III - Tutankhamun (1390-1322 BCE)</w:t>
      </w:r>
    </w:p>
    <w:p>
      <w:pPr>
        <w:pStyle w:val="Normal"/>
        <w:rPr/>
      </w:pPr>
      <w:r>
        <w:rPr/>
        <w:t>BL2450.P7</w:t>
      </w:r>
    </w:p>
    <w:p>
      <w:pPr>
        <w:pStyle w:val="Normal"/>
        <w:rPr/>
      </w:pPr>
      <w:r>
        <w:rPr/>
        <w:t>Statuette of Ptah</w:t>
      </w:r>
    </w:p>
    <w:p>
      <w:pPr>
        <w:pStyle w:val="Normal"/>
        <w:rPr/>
      </w:pPr>
      <w:r>
        <w:rPr/>
        <w:t>Height:</w:t>
      </w:r>
    </w:p>
    <w:p>
      <w:pPr>
        <w:pStyle w:val="Normal"/>
        <w:rPr/>
      </w:pPr>
      <w:r>
        <w:rPr/>
        <w:t>Weight:</w:t>
      </w:r>
    </w:p>
    <w:p>
      <w:pPr>
        <w:pStyle w:val="Normal"/>
        <w:rPr/>
      </w:pPr>
      <w:r>
        <w:rPr/>
      </w:r>
    </w:p>
    <w:p>
      <w:pPr>
        <w:pStyle w:val="Normal"/>
        <w:rPr/>
      </w:pPr>
      <w:r>
        <w:rPr/>
        <w:t>Ptah, god of craftsmen, was father of Nefertum and Imhotep. Nefertum was represented both the first sunlight and the emerging blue lotus flower (</w:t>
      </w:r>
      <w:hyperlink r:id="rId5">
        <w:r>
          <w:rPr>
            <w:rStyle w:val="InternetLink"/>
            <w:i/>
            <w:iCs/>
          </w:rPr>
          <w:t>Nymphaea caerulea</w:t>
        </w:r>
      </w:hyperlink>
      <w:r>
        <w:rPr/>
        <w:t xml:space="preserve">) from the primal waters. Imhotep was regarded also as the god of craftsmen and architects (a knowledge passed on from Ptah) and who was subsequently regarded as the earliest known architect and engineer </w:t>
      </w:r>
      <w:r>
        <w:rPr>
          <w:i/>
        </w:rPr>
        <w:t>in</w:t>
      </w:r>
      <w:r>
        <w:rPr/>
        <w:t xml:space="preserve"> history. Imhotep was king Djoser’s architect of the Step Pyramid, which was built ca. 2650–2600 BCE, and he was also high priest of the sun god Ra at Heliopolis. Ptah’s wife was Sekhmet the lioness-headed goddess. Here, Ptah is shown wearing a beard (divine symbol) and a single braid on his right side. He holds the djed, perhaps in this case an instrument of measurement as it is prominently grooved horizontally. Perhaps, this statuette was once the amulet of an Egyptian engineer. As the god of craftsmen, the Ptah cult spread throughout Egypt from the Old Kingdom onwards.</w:t>
      </w:r>
    </w:p>
    <w:p>
      <w:pPr>
        <w:pStyle w:val="Normal"/>
        <w:rPr/>
      </w:pPr>
      <w:r>
        <w:rPr/>
      </w:r>
    </w:p>
    <w:p>
      <w:pPr>
        <w:pStyle w:val="Normal"/>
        <w:rPr/>
      </w:pPr>
      <w:r>
        <w:rPr/>
        <w:t>References</w:t>
      </w:r>
    </w:p>
    <w:p>
      <w:pPr>
        <w:pStyle w:val="Normal"/>
        <w:rPr/>
      </w:pPr>
      <w:r>
        <w:rPr>
          <w:rStyle w:val="Referencetext"/>
        </w:rPr>
        <w:t xml:space="preserve">Kemp, Barry J. 2005. </w:t>
      </w:r>
      <w:r>
        <w:rPr>
          <w:rStyle w:val="Referencetext"/>
          <w:i/>
          <w:iCs/>
        </w:rPr>
        <w:t>Ancient Egypt</w:t>
      </w:r>
      <w:r>
        <w:rPr>
          <w:rStyle w:val="Referencetext"/>
        </w:rPr>
        <w:t>. London: Routledge.</w:t>
      </w:r>
    </w:p>
    <w:p>
      <w:pPr>
        <w:pStyle w:val="Normal"/>
        <w:rPr/>
      </w:pPr>
      <w:r>
        <w:rPr/>
        <w:t xml:space="preserve">Holmberg, Sandman. 1946. </w:t>
      </w:r>
      <w:r>
        <w:rPr>
          <w:i/>
          <w:iCs/>
        </w:rPr>
        <w:t>The God Ptah</w:t>
      </w:r>
      <w:r>
        <w:rPr/>
        <w:t>. Lund: C.W.K. Gleerup .</w:t>
      </w:r>
      <w:r>
        <w:br w:type="page"/>
      </w:r>
    </w:p>
    <w:p>
      <w:pPr>
        <w:pStyle w:val="Normal"/>
        <w:rPr/>
      </w:pPr>
      <w:r>
        <w:rPr/>
      </w:r>
    </w:p>
    <w:p>
      <w:pPr>
        <w:pStyle w:val="Normal"/>
        <w:rPr/>
      </w:pPr>
      <w:r>
        <w:rPr/>
      </w:r>
    </w:p>
    <w:p>
      <w:pPr>
        <w:pStyle w:val="Normal"/>
        <w:rPr/>
      </w:pPr>
      <w:r>
        <w:rPr/>
      </w:r>
    </w:p>
    <w:p>
      <w:pPr>
        <w:pStyle w:val="Normal"/>
        <w:rPr/>
      </w:pPr>
      <w:r>
        <w:rPr/>
      </w:r>
    </w:p>
    <w:tbl>
      <w:tblPr>
        <w:tblW w:w="2390" w:type="dxa"/>
        <w:jc w:val="start"/>
        <w:tblInd w:w="450" w:type="dxa"/>
        <w:tblBorders/>
        <w:tblCellMar>
          <w:top w:w="0" w:type="dxa"/>
          <w:start w:w="0" w:type="dxa"/>
          <w:bottom w:w="0" w:type="dxa"/>
          <w:end w:w="0" w:type="dxa"/>
        </w:tblCellMar>
      </w:tblPr>
      <w:tblGrid>
        <w:gridCol w:w="2390"/>
      </w:tblGrid>
      <w:tr>
        <w:trPr/>
        <w:tc>
          <w:tcPr>
            <w:tcW w:w="239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0" w:type="dxa"/>
        <w:tblBorders/>
        <w:tblCellMar>
          <w:top w:w="0" w:type="dxa"/>
          <w:start w:w="0" w:type="dxa"/>
          <w:bottom w:w="0" w:type="dxa"/>
          <w:end w:w="0" w:type="dxa"/>
        </w:tblCellMar>
      </w:tblPr>
      <w:tblGrid>
        <w:gridCol w:w="3659"/>
        <w:gridCol w:w="2218"/>
        <w:gridCol w:w="3326"/>
        <w:gridCol w:w="1885"/>
      </w:tblGrid>
      <w:tr>
        <w:trPr/>
        <w:tc>
          <w:tcPr>
            <w:tcW w:w="3659" w:type="dxa"/>
            <w:tcBorders/>
            <w:shd w:fill="auto" w:val="clear"/>
            <w:vAlign w:val="center"/>
          </w:tcPr>
          <w:p>
            <w:pPr>
              <w:pStyle w:val="Normal"/>
              <w:jc w:val="center"/>
              <w:rPr>
                <w:b/>
                <w:b/>
                <w:bCs/>
              </w:rPr>
            </w:pPr>
            <w:r>
              <w:rPr>
                <w:b/>
                <w:bCs/>
              </w:rPr>
              <w:t xml:space="preserve">Item title </w:t>
            </w:r>
          </w:p>
        </w:tc>
        <w:tc>
          <w:tcPr>
            <w:tcW w:w="2218"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326"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885" w:type="dxa"/>
            <w:tcBorders/>
            <w:shd w:fill="auto" w:val="clear"/>
            <w:vAlign w:val="center"/>
          </w:tcPr>
          <w:p>
            <w:pPr>
              <w:pStyle w:val="Normal"/>
              <w:jc w:val="end"/>
              <w:rPr>
                <w:b/>
                <w:b/>
                <w:bCs/>
              </w:rPr>
            </w:pPr>
            <w:r>
              <w:rPr>
                <w:b/>
                <w:bCs/>
              </w:rPr>
              <w:t>Price</w:t>
            </w:r>
          </w:p>
        </w:tc>
      </w:tr>
    </w:tbl>
    <w:p>
      <w:pPr>
        <w:pStyle w:val="Normal"/>
        <w:rPr>
          <w:rStyle w:val="Orderdetailsalignprinterversion"/>
        </w:rPr>
      </w:pPr>
      <w:r>
        <w:rPr/>
        <w:drawing>
          <wp:inline distT="0" distB="0" distL="0" distR="0">
            <wp:extent cx="152400" cy="1524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317" t="-317" r="-317" b="-317"/>
                    <a:stretch>
                      <a:fillRect/>
                    </a:stretch>
                  </pic:blipFill>
                  <pic:spPr bwMode="auto">
                    <a:xfrm>
                      <a:off x="0" y="0"/>
                      <a:ext cx="152400" cy="152400"/>
                    </a:xfrm>
                    <a:prstGeom prst="rect">
                      <a:avLst/>
                    </a:prstGeom>
                  </pic:spPr>
                </pic:pic>
              </a:graphicData>
            </a:graphic>
          </wp:inline>
        </w:drawing>
      </w:r>
      <w:hyperlink r:id="rId7">
        <w:r>
          <w:rPr>
            <w:rStyle w:val="InternetLink"/>
          </w:rPr>
          <w:t>Printer version</w:t>
        </w:r>
      </w:hyperlink>
    </w:p>
    <w:tbl>
      <w:tblPr>
        <w:tblW w:w="7505" w:type="dxa"/>
        <w:jc w:val="start"/>
        <w:tblInd w:w="-45" w:type="dxa"/>
        <w:tblBorders/>
        <w:tblCellMar>
          <w:top w:w="15" w:type="dxa"/>
          <w:start w:w="15" w:type="dxa"/>
          <w:bottom w:w="30" w:type="dxa"/>
          <w:end w:w="15" w:type="dxa"/>
        </w:tblCellMar>
      </w:tblPr>
      <w:tblGrid>
        <w:gridCol w:w="702"/>
        <w:gridCol w:w="5401"/>
        <w:gridCol w:w="1402"/>
      </w:tblGrid>
      <w:tr>
        <w:trPr/>
        <w:tc>
          <w:tcPr>
            <w:tcW w:w="702" w:type="dxa"/>
            <w:tcBorders/>
            <w:shd w:fill="auto" w:val="clear"/>
            <w:vAlign w:val="center"/>
          </w:tcPr>
          <w:p>
            <w:pPr>
              <w:pStyle w:val="Normal"/>
              <w:rPr/>
            </w:pPr>
            <w:r>
              <w:rPr/>
              <w:t>Seller:</w:t>
            </w:r>
          </w:p>
        </w:tc>
        <w:tc>
          <w:tcPr>
            <w:tcW w:w="5401" w:type="dxa"/>
            <w:tcBorders/>
            <w:shd w:fill="auto" w:val="clear"/>
            <w:tcMar>
              <w:bottom w:w="15" w:type="dxa"/>
            </w:tcMar>
            <w:vAlign w:val="center"/>
          </w:tcPr>
          <w:p>
            <w:pPr>
              <w:pStyle w:val="Normal"/>
              <w:rPr/>
            </w:pPr>
            <w:hyperlink r:id="rId8">
              <w:r>
                <w:rPr>
                  <w:rStyle w:val="InternetLink"/>
                  <w:b/>
                  <w:bCs/>
                </w:rPr>
                <w:t xml:space="preserve">Member id </w:t>
              </w:r>
              <w:r>
                <w:rPr>
                  <w:rStyle w:val="Mbgnw"/>
                  <w:color w:val="0000FF"/>
                  <w:u w:val="single"/>
                </w:rPr>
                <w:t>antiquewd</w:t>
              </w:r>
            </w:hyperlink>
            <w:r>
              <w:rPr/>
              <w:t xml:space="preserve"> </w:t>
            </w:r>
            <w:r>
              <w:rPr>
                <w:rStyle w:val="Mbgl"/>
              </w:rPr>
              <w:t xml:space="preserve">( </w:t>
            </w:r>
            <w:hyperlink r:id="rId9">
              <w:r>
                <w:rPr>
                  <w:rStyle w:val="InternetLink"/>
                  <w:b/>
                  <w:bCs/>
                </w:rPr>
                <w:t>Feedback Score Of</w:t>
              </w:r>
              <w:r>
                <w:rPr>
                  <w:rStyle w:val="InternetLink"/>
                </w:rPr>
                <w:t xml:space="preserve"> 1459</w:t>
              </w:r>
              <w:r>
                <w:rPr/>
                <w:drawing>
                  <wp:inline distT="0" distB="0" distL="0" distR="0">
                    <wp:extent cx="238125" cy="2381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0"/>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1402" w:type="dxa"/>
            <w:tcBorders/>
            <w:shd w:fill="auto" w:val="clear"/>
            <w:tcMar>
              <w:bottom w:w="15" w:type="dxa"/>
            </w:tcMar>
            <w:vAlign w:val="center"/>
          </w:tcPr>
          <w:p>
            <w:pPr>
              <w:pStyle w:val="Normal"/>
              <w:rPr/>
            </w:pPr>
            <w:hyperlink r:id="rId11">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11088"/>
      </w:tblGrid>
      <w:tr>
        <w:trPr/>
        <w:tc>
          <w:tcPr>
            <w:tcW w:w="11088" w:type="dxa"/>
            <w:tcBorders/>
            <w:shd w:fill="auto" w:val="clear"/>
            <w:vAlign w:val="center"/>
          </w:tcPr>
          <w:p>
            <w:pPr>
              <w:pStyle w:val="Normal"/>
              <w:rPr>
                <w:b/>
                <w:b/>
                <w:bCs/>
              </w:rPr>
            </w:pPr>
            <w:r>
              <w:rPr>
                <w:b/>
                <w:bCs/>
              </w:rPr>
              <w:t>Order # 125303748018</w:t>
            </w:r>
          </w:p>
          <w:p>
            <w:pPr>
              <w:pStyle w:val="Normal"/>
              <w:rPr/>
            </w:pPr>
            <w:r>
              <w:rPr/>
              <w:drawing>
                <wp:inline distT="0" distB="0" distL="0" distR="0">
                  <wp:extent cx="153035" cy="15303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2"/>
                          <a:srcRect l="-317" t="-317" r="-317" b="-317"/>
                          <a:stretch>
                            <a:fillRect/>
                          </a:stretch>
                        </pic:blipFill>
                        <pic:spPr bwMode="auto">
                          <a:xfrm>
                            <a:off x="0" y="0"/>
                            <a:ext cx="153035" cy="153035"/>
                          </a:xfrm>
                          <a:prstGeom prst="rect">
                            <a:avLst/>
                          </a:prstGeom>
                        </pic:spPr>
                      </pic:pic>
                    </a:graphicData>
                  </a:graphic>
                </wp:inline>
              </w:drawing>
            </w:r>
            <w:r>
              <w:rPr/>
              <w:t>Paid on Nov-18-12 via PayPal</w:t>
            </w:r>
          </w:p>
        </w:tc>
      </w:tr>
    </w:tbl>
    <w:p>
      <w:pPr>
        <w:pStyle w:val="Normal"/>
        <w:rPr>
          <w:b/>
          <w:b/>
          <w:bCs/>
        </w:rPr>
      </w:pPr>
      <w:r>
        <w:rPr>
          <w:b/>
          <w:bCs/>
        </w:rPr>
        <w:t>antiquewd</w:t>
      </w:r>
    </w:p>
    <w:p>
      <w:pPr>
        <w:pStyle w:val="Normal"/>
        <w:rPr/>
      </w:pPr>
      <w:hyperlink r:id="rId13">
        <w:r>
          <w:rPr>
            <w:rStyle w:val="InternetLink"/>
            <w:b/>
            <w:bCs/>
          </w:rPr>
          <w:t xml:space="preserve">Member id </w:t>
        </w:r>
        <w:r>
          <w:rPr>
            <w:rStyle w:val="InternetLink"/>
          </w:rPr>
          <w:t>antiquewd</w:t>
        </w:r>
      </w:hyperlink>
      <w:r>
        <w:rPr/>
        <w:t xml:space="preserve"> </w:t>
      </w:r>
      <w:r>
        <w:rPr>
          <w:rStyle w:val="Mbcl33mbv10"/>
        </w:rPr>
        <w:t>|</w:t>
      </w:r>
      <w:r>
        <w:rPr/>
        <w:t xml:space="preserve"> </w:t>
      </w:r>
      <w:hyperlink r:id="rId14">
        <w:r>
          <w:rPr>
            <w:rStyle w:val="InternetLink"/>
            <w:b/>
            <w:bCs/>
          </w:rPr>
          <w:t>Feedback Score Of</w:t>
        </w:r>
        <w:r>
          <w:rPr>
            <w:rStyle w:val="InternetLink"/>
          </w:rPr>
          <w:t xml:space="preserve"> 1459</w:t>
        </w:r>
      </w:hyperlink>
      <w:r>
        <w:rPr/>
        <w:t xml:space="preserve"> </w:t>
      </w:r>
      <w:r>
        <w:rPr>
          <w:rStyle w:val="Mbcl33mbv10"/>
        </w:rPr>
        <w:t>|</w:t>
      </w:r>
      <w:r>
        <w:rPr/>
        <w:t xml:space="preserve"> </w:t>
      </w:r>
      <w:r>
        <w:rPr>
          <w:rStyle w:val="Mbcl66mbv10"/>
        </w:rPr>
        <w:t>98.5%</w:t>
      </w:r>
      <w:r>
        <w:rPr/>
        <w:t xml:space="preserve"> </w:t>
      </w:r>
    </w:p>
    <w:p>
      <w:pPr>
        <w:pStyle w:val="Normal"/>
        <w:rPr/>
      </w:pPr>
      <w:r>
        <w:rPr/>
        <w:br/>
        <w:br/>
      </w:r>
      <w:r>
        <w:rPr>
          <w:b/>
          <w:bCs/>
        </w:rPr>
        <w:t xml:space="preserve">Total items : </w:t>
      </w:r>
      <w:r>
        <w:rPr/>
        <w:t>17</w:t>
      </w:r>
    </w:p>
    <w:p>
      <w:pPr>
        <w:pStyle w:val="Ggrbig"/>
        <w:rPr/>
      </w:pPr>
      <w:r>
        <w:rPr/>
        <w:t>$541.62</w:t>
      </w:r>
    </w:p>
    <w:p>
      <w:pPr>
        <w:pStyle w:val="Gvxs33a"/>
        <w:rPr/>
      </w:pPr>
      <w:r>
        <w:rPr/>
        <w:t>+$40.00</w:t>
      </w:r>
    </w:p>
    <w:p>
      <w:pPr>
        <w:pStyle w:val="Gv33"/>
        <w:rPr/>
      </w:pPr>
      <w:r>
        <w:rPr/>
        <w:t>shipping</w:t>
      </w:r>
    </w:p>
    <w:tbl>
      <w:tblPr>
        <w:tblW w:w="1500" w:type="dxa"/>
        <w:jc w:val="start"/>
        <w:tblInd w:w="0" w:type="dxa"/>
        <w:tblBorders/>
        <w:tblCellMar>
          <w:top w:w="0" w:type="dxa"/>
          <w:start w:w="0" w:type="dxa"/>
          <w:bottom w:w="0" w:type="dxa"/>
          <w:end w:w="0" w:type="dxa"/>
        </w:tblCellMar>
      </w:tblPr>
      <w:tblGrid>
        <w:gridCol w:w="1500"/>
      </w:tblGrid>
      <w:tr>
        <w:trPr/>
        <w:tc>
          <w:tcPr>
            <w:tcW w:w="1500" w:type="dxa"/>
            <w:tcBorders/>
            <w:shd w:fill="auto" w:val="clear"/>
          </w:tcPr>
          <w:p>
            <w:pPr>
              <w:pStyle w:val="Normal"/>
              <w:rPr/>
            </w:pPr>
            <w:hyperlink r:id="rId15">
              <w:r>
                <w:rPr>
                  <w:rStyle w:val="Ctact"/>
                  <w:color w:val="0000FF"/>
                  <w:u w:val="single"/>
                </w:rPr>
                <w:t>More actions</w:t>
              </w:r>
            </w:hyperlink>
          </w:p>
        </w:tc>
      </w:tr>
    </w:tbl>
    <w:p>
      <w:pPr>
        <w:pStyle w:val="Normal"/>
        <w:rPr>
          <w:b/>
          <w:b/>
          <w:bCs/>
        </w:rPr>
      </w:pPr>
      <w:r>
        <w:rPr>
          <w:b/>
          <w:bCs/>
        </w:rPr>
        <w:t>Egyptian stone style statue figure</w:t>
      </w:r>
    </w:p>
    <w:p>
      <w:pPr>
        <w:pStyle w:val="Normal"/>
        <w:rPr>
          <w:color w:val="0000FF"/>
        </w:rPr>
      </w:pPr>
      <w:r>
        <w:rPr>
          <w:color w:val="0000FF"/>
        </w:rPr>
        <w:drawing>
          <wp:inline distT="0" distB="0" distL="0" distR="0">
            <wp:extent cx="514350" cy="13335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6"/>
                    <a:srcRect l="-52" t="-20" r="-52" b="-20"/>
                    <a:stretch>
                      <a:fillRect/>
                    </a:stretch>
                  </pic:blipFill>
                  <pic:spPr bwMode="auto">
                    <a:xfrm>
                      <a:off x="0" y="0"/>
                      <a:ext cx="514350" cy="1333500"/>
                    </a:xfrm>
                    <a:prstGeom prst="rect">
                      <a:avLst/>
                    </a:prstGeom>
                  </pic:spPr>
                </pic:pic>
              </a:graphicData>
            </a:graphic>
          </wp:inline>
        </w:drawing>
      </w:r>
    </w:p>
    <w:p>
      <w:pPr>
        <w:pStyle w:val="Normal"/>
        <w:rPr/>
      </w:pPr>
      <w:hyperlink r:id="rId17">
        <w:r>
          <w:rPr>
            <w:rStyle w:val="InternetLink"/>
          </w:rPr>
          <w:t>Egyptian stone style statue figure</w:t>
        </w:r>
      </w:hyperlink>
      <w:r>
        <w:rPr>
          <w:rStyle w:val="Gvxs33a1"/>
        </w:rPr>
        <w:t xml:space="preserve"> (271104337269)</w:t>
      </w:r>
      <w:r>
        <w:rPr/>
        <w:t xml:space="preserve"> </w:t>
      </w:r>
    </w:p>
    <w:p>
      <w:pPr>
        <w:pStyle w:val="Normal"/>
        <w:rPr/>
      </w:pPr>
      <w:r>
        <w:rPr>
          <w:rStyle w:val="Gv331"/>
        </w:rPr>
        <w:t>Your max bid: $66.00</w:t>
      </w:r>
    </w:p>
    <w:p>
      <w:pPr>
        <w:pStyle w:val="Normal"/>
        <w:rPr/>
      </w:pPr>
      <w:r>
        <w:rPr>
          <w:rStyle w:val="Gv331"/>
        </w:rPr>
        <w:t>Sale date: 11/18/12</w:t>
      </w:r>
    </w:p>
    <w:p>
      <w:pPr>
        <w:pStyle w:val="Normal"/>
        <w:rPr/>
      </w:pPr>
      <w:r>
        <w:rPr>
          <w:rStyle w:val="Gv331"/>
        </w:rPr>
        <w:t>Tracking number: --</w:t>
      </w:r>
    </w:p>
    <w:p>
      <w:pPr>
        <w:pStyle w:val="Normal"/>
        <w:rPr/>
      </w:pPr>
      <w:r>
        <w:rPr>
          <w:rStyle w:val="Gv331"/>
        </w:rPr>
        <w:t>Estimated Delivery: 11/21/12 - 11/26/12</w:t>
      </w:r>
    </w:p>
    <w:p>
      <w:pPr>
        <w:pStyle w:val="Ggrbig"/>
        <w:rPr/>
      </w:pPr>
      <w:r>
        <w:rPr/>
        <w:t>$20.50</w:t>
      </w:r>
    </w:p>
    <w:p>
      <w:pPr>
        <w:pStyle w:val="Normal"/>
        <w:rPr>
          <w:b/>
          <w:b/>
          <w:bCs/>
        </w:rPr>
      </w:pPr>
      <w:r>
        <w:rPr>
          <w:b/>
          <w:bCs/>
        </w:rPr>
        <w:t>Paid with PayPal on November 18, 2012.</w:t>
      </w:r>
    </w:p>
    <w:p>
      <w:pPr>
        <w:pStyle w:val="Normal"/>
        <w:rPr>
          <w:b/>
          <w:b/>
          <w:bCs/>
        </w:rPr>
      </w:pPr>
      <w:r>
        <w:rPr>
          <w:b/>
          <w:bCs/>
        </w:rPr>
        <w:t>Not shipped</w:t>
      </w:r>
    </w:p>
    <w:p>
      <w:pPr>
        <w:pStyle w:val="Normal"/>
        <w:rPr>
          <w:b/>
          <w:b/>
          <w:bCs/>
        </w:rPr>
      </w:pPr>
      <w:r>
        <w:rPr>
          <w:b/>
          <w:bCs/>
        </w:rPr>
        <w:t>Feedback not left</w:t>
      </w:r>
    </w:p>
    <w:p>
      <w:pPr>
        <w:pStyle w:val="Normal"/>
        <w:rPr>
          <w:b/>
          <w:b/>
          <w:bCs/>
        </w:rPr>
      </w:pPr>
      <w:r>
        <w:rPr>
          <w:b/>
          <w:bCs/>
        </w:rPr>
        <w:t>Feedback not received</w:t>
      </w:r>
    </w:p>
    <w:tbl>
      <w:tblPr>
        <w:tblW w:w="1500" w:type="dxa"/>
        <w:jc w:val="start"/>
        <w:tblInd w:w="0" w:type="dxa"/>
        <w:tblBorders/>
        <w:tblCellMar>
          <w:top w:w="0" w:type="dxa"/>
          <w:start w:w="0" w:type="dxa"/>
          <w:bottom w:w="0" w:type="dxa"/>
          <w:end w:w="0" w:type="dxa"/>
        </w:tblCellMar>
      </w:tblPr>
      <w:tblGrid>
        <w:gridCol w:w="1500"/>
      </w:tblGrid>
      <w:tr>
        <w:trPr/>
        <w:tc>
          <w:tcPr>
            <w:tcW w:w="1500" w:type="dxa"/>
            <w:tcBorders/>
            <w:shd w:fill="auto" w:val="clear"/>
          </w:tcPr>
          <w:p>
            <w:pPr>
              <w:pStyle w:val="Normal"/>
              <w:rPr/>
            </w:pPr>
            <w:hyperlink r:id="rId18" w:tgtFrame="_top">
              <w:r>
                <w:rPr>
                  <w:rStyle w:val="InternetLink"/>
                  <w:b/>
                  <w:bCs/>
                </w:rPr>
                <w:t>Leave feedback</w:t>
              </w:r>
            </w:hyperlink>
          </w:p>
        </w:tc>
      </w:tr>
      <w:tr>
        <w:trPr/>
        <w:tc>
          <w:tcPr>
            <w:tcW w:w="1500" w:type="dxa"/>
            <w:tcBorders/>
            <w:shd w:fill="auto" w:val="clear"/>
          </w:tcPr>
          <w:p>
            <w:pPr>
              <w:pStyle w:val="Normal"/>
              <w:rPr/>
            </w:pPr>
            <w:hyperlink r:id="rId19" w:tgtFrame="_top">
              <w:r>
                <w:rPr>
                  <w:rStyle w:val="InternetLink"/>
                </w:rPr>
                <w:t>Sell this item</w:t>
              </w:r>
            </w:hyperlink>
          </w:p>
        </w:tc>
      </w:tr>
      <w:tr>
        <w:trPr/>
        <w:tc>
          <w:tcPr>
            <w:tcW w:w="1500" w:type="dxa"/>
            <w:tcBorders/>
            <w:shd w:fill="auto" w:val="clear"/>
          </w:tcPr>
          <w:p>
            <w:pPr>
              <w:pStyle w:val="Normal"/>
              <w:rPr/>
            </w:pPr>
            <w:hyperlink r:id="rId20">
              <w:r>
                <w:rPr>
                  <w:rStyle w:val="Ctact"/>
                  <w:color w:val="0000FF"/>
                  <w:u w:val="single"/>
                </w:rPr>
                <w:t>More actions</w:t>
              </w:r>
            </w:hyperlink>
          </w:p>
        </w:tc>
      </w:tr>
    </w:tbl>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rPr>
      <w:color w:val="0000FF"/>
      <w:u w:val="single"/>
    </w:rPr>
  </w:style>
  <w:style w:type="character" w:styleId="Mbcl33mbv10">
    <w:name w:val="mb-cl33 mb-v10"/>
    <w:basedOn w:val="DefaultParagraphFont"/>
    <w:qFormat/>
    <w:rPr/>
  </w:style>
  <w:style w:type="character" w:styleId="Mbcl66mbv10">
    <w:name w:val="mb-cl66 mb-v10"/>
    <w:basedOn w:val="DefaultParagraphFont"/>
    <w:qFormat/>
    <w:rPr/>
  </w:style>
  <w:style w:type="character" w:styleId="Ctact">
    <w:name w:val="cta-ct"/>
    <w:basedOn w:val="DefaultParagraphFont"/>
    <w:qFormat/>
    <w:rPr/>
  </w:style>
  <w:style w:type="character" w:styleId="Gvxs33a1">
    <w:name w:val="g_vxs33a1"/>
    <w:basedOn w:val="DefaultParagraphFont"/>
    <w:qFormat/>
    <w:rPr/>
  </w:style>
  <w:style w:type="character" w:styleId="Gv331">
    <w:name w:val="g-v331"/>
    <w:basedOn w:val="DefaultParagraphFont"/>
    <w:qFormat/>
    <w:rPr/>
  </w:style>
  <w:style w:type="character" w:styleId="Orderdetailsalignprinterversion">
    <w:name w:val="orderdetails_alignprinterversion"/>
    <w:basedOn w:val="DefaultParagraphFont"/>
    <w:qFormat/>
    <w:rPr/>
  </w:style>
  <w:style w:type="character" w:styleId="Mbgnw">
    <w:name w:val="mbg-nw"/>
    <w:basedOn w:val="DefaultParagraphFont"/>
    <w:qFormat/>
    <w:rPr/>
  </w:style>
  <w:style w:type="character" w:styleId="Mbgl">
    <w:name w:val="mbg-l"/>
    <w:basedOn w:val="DefaultParagraphFont"/>
    <w:qFormat/>
    <w:rPr/>
  </w:style>
  <w:style w:type="character" w:styleId="VisitedInternetLink">
    <w:name w:val="Visited Internet Link"/>
    <w:rPr>
      <w:color w:val="800080"/>
      <w:u w:val="single"/>
    </w:rPr>
  </w:style>
  <w:style w:type="character" w:styleId="Referencetext">
    <w:name w:val="reference-tex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Ggrbig">
    <w:name w:val="g-grbig"/>
    <w:basedOn w:val="Normal"/>
    <w:qFormat/>
    <w:pPr>
      <w:spacing w:before="280" w:after="280"/>
    </w:pPr>
    <w:rPr/>
  </w:style>
  <w:style w:type="paragraph" w:styleId="Gvxs33a">
    <w:name w:val="g_vxs33a"/>
    <w:basedOn w:val="Normal"/>
    <w:qFormat/>
    <w:pPr>
      <w:spacing w:before="280" w:after="280"/>
    </w:pPr>
    <w:rPr/>
  </w:style>
  <w:style w:type="paragraph" w:styleId="Gv33">
    <w:name w:val="g-v33"/>
    <w:basedOn w:val="Normal"/>
    <w:qFormat/>
    <w:pPr>
      <w:spacing w:before="280" w:after="280"/>
    </w:pPr>
    <w:rPr/>
  </w:style>
  <w:style w:type="paragraph" w:styleId="NormalWeb">
    <w:name w:val="Normal (Web)"/>
    <w:basedOn w:val="Normal"/>
    <w:qFormat/>
    <w:pPr>
      <w:spacing w:before="280" w:after="280"/>
    </w:pPr>
    <w:rPr>
      <w:rFonts w:eastAsia="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en.wikipedia.org/wiki/Nymphaea_caerulea" TargetMode="External"/><Relationship Id="rId6" Type="http://schemas.openxmlformats.org/officeDocument/2006/relationships/image" Target="media/image4.png"/><Relationship Id="rId7" Type="http://schemas.openxmlformats.org/officeDocument/2006/relationships/hyperlink" Target="http://payments.ebay.com/ws/eBayISAPI.dll?ViewPaymentStatus&amp;transid=0&amp;userloginid=802-867&amp;orderid=125303748018&amp;printerversion=true&amp;itemid=271104286471" TargetMode="External"/><Relationship Id="rId8" Type="http://schemas.openxmlformats.org/officeDocument/2006/relationships/hyperlink" Target="http://myworld.ebay.com/antiquewd" TargetMode="External"/><Relationship Id="rId9" Type="http://schemas.openxmlformats.org/officeDocument/2006/relationships/hyperlink" Target="http://feedback.ebay.com/ws/eBayISAPI.dll?ViewFeedback&amp;userid=antiquewd" TargetMode="External"/><Relationship Id="rId10" Type="http://schemas.openxmlformats.org/officeDocument/2006/relationships/image" Target="media/image5.png"/><Relationship Id="rId11" Type="http://schemas.openxmlformats.org/officeDocument/2006/relationships/hyperlink" Target="http://contact.ebay.com/ws/eBayISAPI.dll?ShowCoreAskSellerQuestion&amp;frm=3998&amp;iid=0&amp;redirect=0&amp;requested=antiquewd" TargetMode="External"/><Relationship Id="rId12" Type="http://schemas.openxmlformats.org/officeDocument/2006/relationships/image" Target="media/image6.png"/><Relationship Id="rId13" Type="http://schemas.openxmlformats.org/officeDocument/2006/relationships/hyperlink" Target="http://myworld.ebay.com/antiquewd/&amp;_trksid=p3984.m1439.l2754" TargetMode="External"/><Relationship Id="rId14" Type="http://schemas.openxmlformats.org/officeDocument/2006/relationships/hyperlink" Target="http://feedback.ebay.com/ws/eBayISAPI.dll?ViewFeedback2&amp;userid=antiquewd&amp;_trksid=p3984.m1439.l2776" TargetMode="External"/><Relationship Id="rId15" Type="http://schemas.openxmlformats.org/officeDocument/2006/relationships/hyperlink" Target="javascript:;" TargetMode="External"/><Relationship Id="rId16" Type="http://schemas.openxmlformats.org/officeDocument/2006/relationships/image" Target="media/image7.jpeg"/><Relationship Id="rId17" Type="http://schemas.openxmlformats.org/officeDocument/2006/relationships/hyperlink" Target="http://www.ebay.com/itm/271104337269?ssPageName=STRK:MEWNX:IT&amp;_trksid=p3984.m1439.l2649" TargetMode="External"/><Relationship Id="rId18" Type="http://schemas.openxmlformats.org/officeDocument/2006/relationships/hyperlink" Target="http://feedback.ebay.com/ws/eBayISAPI.dll?LeaveFeedbackShow&amp;useridto=antiquewd&amp;item=271104337269&amp;transactID=0&amp;ssPageName=STRK:MEWNX:LF&amp;_trksid=p3984.m1439.l2665" TargetMode="External"/><Relationship Id="rId19" Type="http://schemas.openxmlformats.org/officeDocument/2006/relationships/hyperlink" Target="http://cgi5.ebay.com/ws/eBayISAPI.dll?SellLikeItem&amp;item=271104337269&amp;ssPageName=STRK:MEWNX:LILT&amp;_trksid=p3984.m1439.l2667" TargetMode="External"/><Relationship Id="rId20" Type="http://schemas.openxmlformats.org/officeDocument/2006/relationships/hyperlink" Target="javascript:;"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2018-12-31T12:08:00Z</dcterms:created>
  <dc:creator>USER</dc:creator>
  <dc:description/>
  <cp:keywords/>
  <dc:language>en-US</dc:language>
  <cp:lastModifiedBy>Coffman</cp:lastModifiedBy>
  <dcterms:modified xsi:type="dcterms:W3CDTF">2018-12-31T12:08:00Z</dcterms:modified>
  <cp:revision>2</cp:revision>
  <dc:subject/>
  <dc:title>Afr-Egy-Bearded man-Stone statue</dc:title>
</cp:coreProperties>
</file>