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18788F">
      <w:r>
        <w:t>Case 3-ME-Iraq-Gilgamesh</w:t>
      </w:r>
      <w:bookmarkStart w:id="0" w:name="_GoBack"/>
      <w:bookmarkEnd w:id="0"/>
      <w:r>
        <w:t xml:space="preserve">-Palace of </w:t>
      </w:r>
      <w:r>
        <w:rPr>
          <w:rFonts w:ascii="Arial" w:hAnsi="Arial" w:cs="Arial"/>
          <w:color w:val="000000"/>
          <w:sz w:val="19"/>
          <w:szCs w:val="19"/>
          <w:shd w:val="clear" w:color="auto" w:fill="EFF1E8"/>
        </w:rPr>
        <w:t xml:space="preserve">Sargon II at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EFF1E8"/>
        </w:rPr>
        <w:t>Khorsabad</w:t>
      </w:r>
      <w:proofErr w:type="spellEnd"/>
    </w:p>
    <w:p w:rsidR="00984EF4" w:rsidRDefault="0018788F">
      <w:pPr>
        <w:rPr>
          <w:rFonts w:ascii="Arial" w:hAnsi="Arial" w:cs="Arial"/>
          <w:color w:val="000000"/>
          <w:sz w:val="19"/>
          <w:szCs w:val="19"/>
          <w:shd w:val="clear" w:color="auto" w:fill="EFF1E8"/>
        </w:rPr>
      </w:pPr>
      <w:r>
        <w:rPr>
          <w:noProof/>
        </w:rPr>
        <w:drawing>
          <wp:inline distT="0" distB="0" distL="0" distR="0" wp14:anchorId="5A974447" wp14:editId="7823397F">
            <wp:extent cx="1890499" cy="4653738"/>
            <wp:effectExtent l="0" t="0" r="0" b="0"/>
            <wp:docPr id="5" name="Picture 5" descr="https://i.ebayimg.com/images/g/s9UAAOSwUBpauWvY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ebayimg.com/images/g/s9UAAOSwUBpauWvY/s-l160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938" cy="467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88F" w:rsidRDefault="0018788F">
      <w:pPr>
        <w:rPr>
          <w:rFonts w:ascii="Arial" w:hAnsi="Arial" w:cs="Arial"/>
          <w:color w:val="222222"/>
          <w:sz w:val="20"/>
          <w:szCs w:val="20"/>
          <w:shd w:val="clear" w:color="auto" w:fill="F8F9FA"/>
          <w:lang w:val="fr-FR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EFF1E8"/>
        </w:rPr>
        <w:t xml:space="preserve">This colossal figure choking a lion once stood at the palace of Assyrian king Sargon II at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EFF1E8"/>
        </w:rPr>
        <w:t>Khorsabad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EFF1E8"/>
        </w:rPr>
        <w:t xml:space="preserve"> in northern Iraq. Often identified with the hero Gilgamesh, the statue now resides</w:t>
      </w:r>
      <w:r w:rsidR="00984EF4">
        <w:rPr>
          <w:rFonts w:ascii="Arial" w:hAnsi="Arial" w:cs="Arial"/>
          <w:color w:val="000000"/>
          <w:sz w:val="19"/>
          <w:szCs w:val="19"/>
          <w:shd w:val="clear" w:color="auto" w:fill="EFF1E8"/>
        </w:rPr>
        <w:t xml:space="preserve"> at the Louvre Museum in Paris.</w:t>
      </w:r>
      <w:r w:rsidRPr="00984EF4">
        <w:rPr>
          <w:rStyle w:val="Emphasis"/>
          <w:rFonts w:ascii="Arial" w:hAnsi="Arial" w:cs="Arial"/>
          <w:color w:val="000000"/>
          <w:sz w:val="19"/>
          <w:szCs w:val="19"/>
          <w:bdr w:val="none" w:sz="0" w:space="0" w:color="auto" w:frame="1"/>
          <w:shd w:val="clear" w:color="auto" w:fill="EFF1E8"/>
        </w:rPr>
        <w:t xml:space="preserve"> </w:t>
      </w:r>
      <w:r w:rsidRPr="0018788F">
        <w:rPr>
          <w:rStyle w:val="Emphasis"/>
          <w:rFonts w:ascii="Arial" w:hAnsi="Arial" w:cs="Arial"/>
          <w:color w:val="000000"/>
          <w:sz w:val="19"/>
          <w:szCs w:val="19"/>
          <w:bdr w:val="none" w:sz="0" w:space="0" w:color="auto" w:frame="1"/>
          <w:shd w:val="clear" w:color="auto" w:fill="EFF1E8"/>
          <w:lang w:val="fr-FR"/>
        </w:rPr>
        <w:t>Musée du Louvre, Paris.</w:t>
      </w:r>
      <w:r w:rsidRPr="0018788F">
        <w:rPr>
          <w:rFonts w:ascii="Arial" w:hAnsi="Arial" w:cs="Arial"/>
          <w:color w:val="222222"/>
          <w:sz w:val="20"/>
          <w:szCs w:val="20"/>
          <w:shd w:val="clear" w:color="auto" w:fill="F8F9FA"/>
          <w:lang w:val="fr-FR"/>
        </w:rPr>
        <w:t xml:space="preserve"> Gilgamesh </w:t>
      </w:r>
      <w:proofErr w:type="spellStart"/>
      <w:r w:rsidRPr="0018788F">
        <w:rPr>
          <w:rFonts w:ascii="Arial" w:hAnsi="Arial" w:cs="Arial"/>
          <w:color w:val="222222"/>
          <w:sz w:val="20"/>
          <w:szCs w:val="20"/>
          <w:shd w:val="clear" w:color="auto" w:fill="F8F9FA"/>
          <w:lang w:val="fr-FR"/>
        </w:rPr>
        <w:t>subduing</w:t>
      </w:r>
      <w:proofErr w:type="spellEnd"/>
      <w:r w:rsidRPr="0018788F">
        <w:rPr>
          <w:rFonts w:ascii="Arial" w:hAnsi="Arial" w:cs="Arial"/>
          <w:color w:val="222222"/>
          <w:sz w:val="20"/>
          <w:szCs w:val="20"/>
          <w:shd w:val="clear" w:color="auto" w:fill="F8F9FA"/>
          <w:lang w:val="fr-FR"/>
        </w:rPr>
        <w:t xml:space="preserve"> a lion, </w:t>
      </w:r>
      <w:hyperlink r:id="rId5" w:tooltip="en:Louvre" w:history="1">
        <w:r w:rsidRPr="0018788F">
          <w:rPr>
            <w:rStyle w:val="Hyperlink"/>
            <w:rFonts w:ascii="Arial" w:hAnsi="Arial" w:cs="Arial"/>
            <w:color w:val="663366"/>
            <w:sz w:val="20"/>
            <w:szCs w:val="20"/>
            <w:shd w:val="clear" w:color="auto" w:fill="F8F9FA"/>
            <w:lang w:val="fr-FR"/>
          </w:rPr>
          <w:t>Louvre</w:t>
        </w:r>
      </w:hyperlink>
      <w:r w:rsidRPr="0018788F">
        <w:rPr>
          <w:rFonts w:ascii="Arial" w:hAnsi="Arial" w:cs="Arial"/>
          <w:color w:val="222222"/>
          <w:sz w:val="20"/>
          <w:szCs w:val="20"/>
          <w:shd w:val="clear" w:color="auto" w:fill="F8F9FA"/>
          <w:lang w:val="fr-FR"/>
        </w:rPr>
        <w:t> </w:t>
      </w:r>
      <w:proofErr w:type="spellStart"/>
      <w:r w:rsidRPr="0018788F">
        <w:rPr>
          <w:rFonts w:ascii="Arial" w:hAnsi="Arial" w:cs="Arial"/>
          <w:color w:val="222222"/>
          <w:sz w:val="20"/>
          <w:szCs w:val="20"/>
          <w:shd w:val="clear" w:color="auto" w:fill="F8F9FA"/>
          <w:lang w:val="fr-FR"/>
        </w:rPr>
        <w:t>museum</w:t>
      </w:r>
      <w:proofErr w:type="spellEnd"/>
    </w:p>
    <w:p w:rsidR="00984EF4" w:rsidRDefault="00984EF4" w:rsidP="00984EF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000000"/>
          <w:sz w:val="23"/>
          <w:szCs w:val="23"/>
        </w:rPr>
      </w:pPr>
      <w:proofErr w:type="spellStart"/>
      <w:r>
        <w:rPr>
          <w:rFonts w:ascii="Georgia" w:hAnsi="Georgia"/>
          <w:color w:val="000000"/>
          <w:sz w:val="23"/>
          <w:szCs w:val="23"/>
        </w:rPr>
        <w:t>Tzvi</w:t>
      </w:r>
      <w:proofErr w:type="spellEnd"/>
      <w:r>
        <w:rPr>
          <w:rFonts w:ascii="Georgia" w:hAnsi="Georgia"/>
          <w:color w:val="000000"/>
          <w:sz w:val="23"/>
          <w:szCs w:val="23"/>
        </w:rPr>
        <w:t xml:space="preserve"> </w:t>
      </w:r>
      <w:proofErr w:type="spellStart"/>
      <w:r>
        <w:rPr>
          <w:rFonts w:ascii="Georgia" w:hAnsi="Georgia"/>
          <w:color w:val="000000"/>
          <w:sz w:val="23"/>
          <w:szCs w:val="23"/>
        </w:rPr>
        <w:t>Abusch</w:t>
      </w:r>
      <w:proofErr w:type="spellEnd"/>
      <w:r>
        <w:rPr>
          <w:rFonts w:ascii="Georgia" w:hAnsi="Georgia"/>
          <w:color w:val="000000"/>
          <w:sz w:val="23"/>
          <w:szCs w:val="23"/>
        </w:rPr>
        <w:t>, </w:t>
      </w:r>
      <w:hyperlink r:id="rId6" w:tgtFrame="_blank" w:history="1">
        <w:r>
          <w:rPr>
            <w:rStyle w:val="Strong"/>
            <w:rFonts w:ascii="Georgia" w:hAnsi="Georgia"/>
            <w:color w:val="046380"/>
            <w:sz w:val="23"/>
            <w:szCs w:val="23"/>
            <w:bdr w:val="none" w:sz="0" w:space="0" w:color="auto" w:frame="1"/>
          </w:rPr>
          <w:t>“Gilgamesh: Hero, king, god and striving man,”</w:t>
        </w:r>
      </w:hyperlink>
      <w:r>
        <w:rPr>
          <w:rFonts w:ascii="Georgia" w:hAnsi="Georgia"/>
          <w:color w:val="000000"/>
          <w:sz w:val="23"/>
          <w:szCs w:val="23"/>
        </w:rPr>
        <w:t> </w:t>
      </w:r>
      <w:r>
        <w:rPr>
          <w:rStyle w:val="Emphasis"/>
          <w:rFonts w:ascii="Georgia" w:hAnsi="Georgia"/>
          <w:color w:val="000000"/>
          <w:sz w:val="23"/>
          <w:szCs w:val="23"/>
          <w:bdr w:val="none" w:sz="0" w:space="0" w:color="auto" w:frame="1"/>
        </w:rPr>
        <w:t>Archaeology Odyssey</w:t>
      </w:r>
      <w:r>
        <w:rPr>
          <w:rFonts w:ascii="Georgia" w:hAnsi="Georgia"/>
          <w:color w:val="000000"/>
          <w:sz w:val="23"/>
          <w:szCs w:val="23"/>
        </w:rPr>
        <w:t>, July/August 2000.</w:t>
      </w:r>
    </w:p>
    <w:p w:rsidR="00984EF4" w:rsidRDefault="00984EF4" w:rsidP="00984EF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 xml:space="preserve">Karel van der </w:t>
      </w:r>
      <w:proofErr w:type="spellStart"/>
      <w:r>
        <w:rPr>
          <w:rFonts w:ascii="Georgia" w:hAnsi="Georgia"/>
          <w:color w:val="000000"/>
          <w:sz w:val="23"/>
          <w:szCs w:val="23"/>
        </w:rPr>
        <w:t>Toorn</w:t>
      </w:r>
      <w:proofErr w:type="spellEnd"/>
      <w:r>
        <w:rPr>
          <w:rFonts w:ascii="Georgia" w:hAnsi="Georgia"/>
          <w:color w:val="000000"/>
          <w:sz w:val="23"/>
          <w:szCs w:val="23"/>
        </w:rPr>
        <w:t>, </w:t>
      </w:r>
      <w:hyperlink r:id="rId7" w:tgtFrame="_blank" w:history="1">
        <w:r>
          <w:rPr>
            <w:rStyle w:val="Strong"/>
            <w:rFonts w:ascii="Georgia" w:hAnsi="Georgia"/>
            <w:color w:val="046380"/>
            <w:sz w:val="23"/>
            <w:szCs w:val="23"/>
            <w:bdr w:val="none" w:sz="0" w:space="0" w:color="auto" w:frame="1"/>
          </w:rPr>
          <w:t>“Did Ecclesiastes Copy Gilgamesh?”</w:t>
        </w:r>
      </w:hyperlink>
      <w:r>
        <w:rPr>
          <w:rFonts w:ascii="Georgia" w:hAnsi="Georgia"/>
          <w:color w:val="000000"/>
          <w:sz w:val="23"/>
          <w:szCs w:val="23"/>
        </w:rPr>
        <w:t> </w:t>
      </w:r>
      <w:r>
        <w:rPr>
          <w:rStyle w:val="Emphasis"/>
          <w:rFonts w:ascii="Georgia" w:hAnsi="Georgia"/>
          <w:color w:val="000000"/>
          <w:sz w:val="23"/>
          <w:szCs w:val="23"/>
          <w:bdr w:val="none" w:sz="0" w:space="0" w:color="auto" w:frame="1"/>
        </w:rPr>
        <w:t>Bible Review</w:t>
      </w:r>
      <w:r>
        <w:rPr>
          <w:rFonts w:ascii="Georgia" w:hAnsi="Georgia"/>
          <w:color w:val="000000"/>
          <w:sz w:val="23"/>
          <w:szCs w:val="23"/>
        </w:rPr>
        <w:t>, February 2000.</w:t>
      </w:r>
    </w:p>
    <w:p w:rsidR="00984EF4" w:rsidRDefault="00984EF4" w:rsidP="00984EF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 xml:space="preserve">Jack </w:t>
      </w:r>
      <w:proofErr w:type="spellStart"/>
      <w:r>
        <w:rPr>
          <w:rFonts w:ascii="Georgia" w:hAnsi="Georgia"/>
          <w:color w:val="000000"/>
          <w:sz w:val="23"/>
          <w:szCs w:val="23"/>
        </w:rPr>
        <w:t>Meinhardt</w:t>
      </w:r>
      <w:proofErr w:type="spellEnd"/>
      <w:r>
        <w:rPr>
          <w:rFonts w:ascii="Georgia" w:hAnsi="Georgia"/>
          <w:color w:val="000000"/>
          <w:sz w:val="23"/>
          <w:szCs w:val="23"/>
        </w:rPr>
        <w:t>, </w:t>
      </w:r>
      <w:hyperlink r:id="rId8" w:tgtFrame="_blank" w:history="1">
        <w:r>
          <w:rPr>
            <w:rStyle w:val="Strong"/>
            <w:rFonts w:ascii="Georgia" w:hAnsi="Georgia"/>
            <w:color w:val="046380"/>
            <w:sz w:val="23"/>
            <w:szCs w:val="23"/>
            <w:bdr w:val="none" w:sz="0" w:space="0" w:color="auto" w:frame="1"/>
          </w:rPr>
          <w:t>“Gilgamesh—Like You’ve Never Seen Him Before,”</w:t>
        </w:r>
      </w:hyperlink>
      <w:r>
        <w:rPr>
          <w:rFonts w:ascii="Georgia" w:hAnsi="Georgia"/>
          <w:color w:val="000000"/>
          <w:sz w:val="23"/>
          <w:szCs w:val="23"/>
        </w:rPr>
        <w:t> </w:t>
      </w:r>
      <w:r>
        <w:rPr>
          <w:rStyle w:val="Emphasis"/>
          <w:rFonts w:ascii="Georgia" w:hAnsi="Georgia"/>
          <w:color w:val="000000"/>
          <w:sz w:val="23"/>
          <w:szCs w:val="23"/>
          <w:bdr w:val="none" w:sz="0" w:space="0" w:color="auto" w:frame="1"/>
        </w:rPr>
        <w:t>Archaeology Odyssey</w:t>
      </w:r>
      <w:r>
        <w:rPr>
          <w:rFonts w:ascii="Georgia" w:hAnsi="Georgia"/>
          <w:color w:val="000000"/>
          <w:sz w:val="23"/>
          <w:szCs w:val="23"/>
        </w:rPr>
        <w:t>, July/August 2005.</w:t>
      </w:r>
    </w:p>
    <w:p w:rsidR="00984EF4" w:rsidRPr="00984EF4" w:rsidRDefault="00425E9E">
      <w:r>
        <w:rPr>
          <w:noProof/>
        </w:rPr>
        <w:lastRenderedPageBreak/>
        <w:drawing>
          <wp:inline distT="0" distB="0" distL="0" distR="0" wp14:anchorId="422130A0" wp14:editId="2DC1B11E">
            <wp:extent cx="21336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EF4" w:rsidRPr="00984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88F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4B1C"/>
    <w:rsid w:val="000C5713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765"/>
    <w:rsid w:val="0014674B"/>
    <w:rsid w:val="00147721"/>
    <w:rsid w:val="00147A24"/>
    <w:rsid w:val="00147AAE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127"/>
    <w:rsid w:val="0018142E"/>
    <w:rsid w:val="001838D7"/>
    <w:rsid w:val="0018452A"/>
    <w:rsid w:val="00184987"/>
    <w:rsid w:val="00184CE4"/>
    <w:rsid w:val="00185F53"/>
    <w:rsid w:val="00186721"/>
    <w:rsid w:val="0018788F"/>
    <w:rsid w:val="00190E17"/>
    <w:rsid w:val="00193A48"/>
    <w:rsid w:val="00193B2C"/>
    <w:rsid w:val="001962D0"/>
    <w:rsid w:val="00196E3F"/>
    <w:rsid w:val="00197505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C1026"/>
    <w:rsid w:val="001C233F"/>
    <w:rsid w:val="001C5928"/>
    <w:rsid w:val="001C6C74"/>
    <w:rsid w:val="001C7805"/>
    <w:rsid w:val="001C7F59"/>
    <w:rsid w:val="001D02CA"/>
    <w:rsid w:val="001D1A45"/>
    <w:rsid w:val="001D25DE"/>
    <w:rsid w:val="001D3890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52B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6DC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6106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D7B89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21EF5"/>
    <w:rsid w:val="0032481E"/>
    <w:rsid w:val="00325632"/>
    <w:rsid w:val="00326D90"/>
    <w:rsid w:val="00327E7F"/>
    <w:rsid w:val="0033064D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4A31"/>
    <w:rsid w:val="00425E9E"/>
    <w:rsid w:val="00426BDC"/>
    <w:rsid w:val="0043112F"/>
    <w:rsid w:val="00432817"/>
    <w:rsid w:val="00432C23"/>
    <w:rsid w:val="00432E9C"/>
    <w:rsid w:val="00433F94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44C3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7E62"/>
    <w:rsid w:val="0052008C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52B9"/>
    <w:rsid w:val="005772DE"/>
    <w:rsid w:val="00577F21"/>
    <w:rsid w:val="00580102"/>
    <w:rsid w:val="005805D1"/>
    <w:rsid w:val="00581A6F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362D"/>
    <w:rsid w:val="00635C2C"/>
    <w:rsid w:val="00636AB4"/>
    <w:rsid w:val="00636CC4"/>
    <w:rsid w:val="00641AE4"/>
    <w:rsid w:val="006431D5"/>
    <w:rsid w:val="006436F7"/>
    <w:rsid w:val="00643B4E"/>
    <w:rsid w:val="00644D5E"/>
    <w:rsid w:val="00645459"/>
    <w:rsid w:val="006459F1"/>
    <w:rsid w:val="00646A13"/>
    <w:rsid w:val="00650B89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4045"/>
    <w:rsid w:val="006678BA"/>
    <w:rsid w:val="00667C22"/>
    <w:rsid w:val="00667F02"/>
    <w:rsid w:val="0067271A"/>
    <w:rsid w:val="006741E9"/>
    <w:rsid w:val="0067505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E5"/>
    <w:rsid w:val="006B3A25"/>
    <w:rsid w:val="006B5248"/>
    <w:rsid w:val="006B5D20"/>
    <w:rsid w:val="006B6461"/>
    <w:rsid w:val="006B65A6"/>
    <w:rsid w:val="006C052F"/>
    <w:rsid w:val="006C067D"/>
    <w:rsid w:val="006C0C6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F1C3A"/>
    <w:rsid w:val="006F2196"/>
    <w:rsid w:val="006F3339"/>
    <w:rsid w:val="006F3C3B"/>
    <w:rsid w:val="006F3D11"/>
    <w:rsid w:val="006F4685"/>
    <w:rsid w:val="006F473C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1E77"/>
    <w:rsid w:val="00734092"/>
    <w:rsid w:val="007347CA"/>
    <w:rsid w:val="00740A23"/>
    <w:rsid w:val="00740D1C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67F35"/>
    <w:rsid w:val="00773E45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544E"/>
    <w:rsid w:val="007C64CD"/>
    <w:rsid w:val="007C6E6A"/>
    <w:rsid w:val="007C7C7E"/>
    <w:rsid w:val="007D07B3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5D3F"/>
    <w:rsid w:val="008272B7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68E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1545"/>
    <w:rsid w:val="008720A1"/>
    <w:rsid w:val="00873B98"/>
    <w:rsid w:val="00876167"/>
    <w:rsid w:val="0087691E"/>
    <w:rsid w:val="00876FF1"/>
    <w:rsid w:val="00880A4A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C81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82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0F95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52A"/>
    <w:rsid w:val="00982736"/>
    <w:rsid w:val="00984361"/>
    <w:rsid w:val="00984EF4"/>
    <w:rsid w:val="0098730F"/>
    <w:rsid w:val="00990905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0AB4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8F1"/>
    <w:rsid w:val="009E3A7F"/>
    <w:rsid w:val="009E56FA"/>
    <w:rsid w:val="009E6FAE"/>
    <w:rsid w:val="009F1ACB"/>
    <w:rsid w:val="009F1DCB"/>
    <w:rsid w:val="009F214F"/>
    <w:rsid w:val="009F2B97"/>
    <w:rsid w:val="009F5BA3"/>
    <w:rsid w:val="009F7CEF"/>
    <w:rsid w:val="00A00008"/>
    <w:rsid w:val="00A015B8"/>
    <w:rsid w:val="00A017A9"/>
    <w:rsid w:val="00A01B7E"/>
    <w:rsid w:val="00A023FC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1632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07BD"/>
    <w:rsid w:val="00AE1156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0C15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DE3"/>
    <w:rsid w:val="00B14E0A"/>
    <w:rsid w:val="00B16ADE"/>
    <w:rsid w:val="00B22E83"/>
    <w:rsid w:val="00B23A94"/>
    <w:rsid w:val="00B24951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5035B"/>
    <w:rsid w:val="00B51BBA"/>
    <w:rsid w:val="00B53071"/>
    <w:rsid w:val="00B531B5"/>
    <w:rsid w:val="00B53A50"/>
    <w:rsid w:val="00B5407E"/>
    <w:rsid w:val="00B55317"/>
    <w:rsid w:val="00B55BF3"/>
    <w:rsid w:val="00B56BE6"/>
    <w:rsid w:val="00B56D4C"/>
    <w:rsid w:val="00B56D6B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9276F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033"/>
    <w:rsid w:val="00BE6371"/>
    <w:rsid w:val="00BE6C9B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953"/>
    <w:rsid w:val="00C2145E"/>
    <w:rsid w:val="00C228EE"/>
    <w:rsid w:val="00C23412"/>
    <w:rsid w:val="00C24578"/>
    <w:rsid w:val="00C265A3"/>
    <w:rsid w:val="00C271D3"/>
    <w:rsid w:val="00C27308"/>
    <w:rsid w:val="00C3133D"/>
    <w:rsid w:val="00C32193"/>
    <w:rsid w:val="00C32F26"/>
    <w:rsid w:val="00C34618"/>
    <w:rsid w:val="00C35779"/>
    <w:rsid w:val="00C36246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41C"/>
    <w:rsid w:val="00C85921"/>
    <w:rsid w:val="00C86A5E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5AAB"/>
    <w:rsid w:val="00CB69E4"/>
    <w:rsid w:val="00CB7668"/>
    <w:rsid w:val="00CB775D"/>
    <w:rsid w:val="00CC0343"/>
    <w:rsid w:val="00CC1334"/>
    <w:rsid w:val="00CC3924"/>
    <w:rsid w:val="00CC3CB1"/>
    <w:rsid w:val="00CC4ABD"/>
    <w:rsid w:val="00CC5942"/>
    <w:rsid w:val="00CC5976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1450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1B02"/>
    <w:rsid w:val="00E22182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40F6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350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77838"/>
    <w:rsid w:val="00E80BA9"/>
    <w:rsid w:val="00E828B2"/>
    <w:rsid w:val="00E82913"/>
    <w:rsid w:val="00E82A42"/>
    <w:rsid w:val="00E83AEE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2121"/>
    <w:rsid w:val="00F0302D"/>
    <w:rsid w:val="00F0379A"/>
    <w:rsid w:val="00F03902"/>
    <w:rsid w:val="00F041F1"/>
    <w:rsid w:val="00F04368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86AA3"/>
    <w:rsid w:val="00F95090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2AAA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70BED"/>
  <w15:chartTrackingRefBased/>
  <w15:docId w15:val="{40C9927D-4E6C-4762-B74B-3E37A7BA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788F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88F"/>
    <w:rPr>
      <w:rFonts w:eastAsia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18788F"/>
  </w:style>
  <w:style w:type="character" w:styleId="Hyperlink">
    <w:name w:val="Hyperlink"/>
    <w:basedOn w:val="DefaultParagraphFont"/>
    <w:uiPriority w:val="99"/>
    <w:semiHidden/>
    <w:unhideWhenUsed/>
    <w:rsid w:val="0018788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8788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84EF4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984E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7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mbers.bib-arch.org/publication.asp?PubID=BSAO&amp;Volume=8&amp;Issue=4&amp;ArticleID=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embers.bib-arch.org/publication.asp?PubID=BSBR&amp;Volume=16&amp;Issue=1&amp;ArticleID=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embers.bib-arch.org/publication.asp?PubID=BSAO&amp;Volume=3&amp;Issue=4&amp;ArticleID=1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Louvre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3</cp:revision>
  <dcterms:created xsi:type="dcterms:W3CDTF">2019-01-14T19:13:00Z</dcterms:created>
  <dcterms:modified xsi:type="dcterms:W3CDTF">2019-01-14T19:27:00Z</dcterms:modified>
</cp:coreProperties>
</file>