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Case 5-Asia-Thailand-Ban Chiang-Bangle-Shell-3600 BCE</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drawing>
          <wp:inline distT="0" distB="0" distL="0" distR="0">
            <wp:extent cx="4466590" cy="318579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12" r="-8" b="-12"/>
                    <a:stretch>
                      <a:fillRect/>
                    </a:stretch>
                  </pic:blipFill>
                  <pic:spPr bwMode="auto">
                    <a:xfrm>
                      <a:off x="0" y="0"/>
                      <a:ext cx="4466590" cy="3185795"/>
                    </a:xfrm>
                    <a:prstGeom prst="rect">
                      <a:avLst/>
                    </a:prstGeom>
                  </pic:spPr>
                </pic:pic>
              </a:graphicData>
            </a:graphic>
          </wp:inline>
        </w:drawing>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Fig. 1. Thailand-Ban Chiang-Bangle-Shell-3600 BCE</w:t>
      </w:r>
    </w:p>
    <w:p>
      <w:pPr>
        <w:pStyle w:val="Normal"/>
        <w:rPr/>
      </w:pPr>
      <w:r>
        <w:rPr>
          <w:rStyle w:val="StrongEmphasis"/>
          <w:rFonts w:cs="Times New Roman" w:ascii="Times New Roman" w:hAnsi="Times New Roman"/>
          <w:sz w:val="24"/>
          <w:szCs w:val="24"/>
        </w:rPr>
        <w:t>Case no.:</w:t>
      </w:r>
    </w:p>
    <w:p>
      <w:pPr>
        <w:pStyle w:val="Normal"/>
        <w:rPr/>
      </w:pPr>
      <w:r>
        <w:rPr>
          <w:rStyle w:val="StrongEmphasis"/>
          <w:rFonts w:cs="Times New Roman" w:ascii="Times New Roman" w:hAnsi="Times New Roman"/>
          <w:sz w:val="24"/>
          <w:szCs w:val="24"/>
        </w:rPr>
        <w:t>Accession Number:</w:t>
      </w:r>
    </w:p>
    <w:p>
      <w:pPr>
        <w:pStyle w:val="Normal"/>
        <w:rPr>
          <w:rStyle w:val="StrongEmphasis"/>
          <w:rFonts w:ascii="Times New Roman" w:hAnsi="Times New Roman" w:cs="Times New Roman"/>
          <w:bCs w:val="false"/>
          <w:sz w:val="24"/>
          <w:szCs w:val="24"/>
        </w:rPr>
      </w:pPr>
      <w:r>
        <w:rPr>
          <w:rStyle w:val="StrongEmphasis"/>
          <w:rFonts w:cs="Times New Roman" w:ascii="Times New Roman" w:hAnsi="Times New Roman"/>
          <w:sz w:val="24"/>
          <w:szCs w:val="24"/>
        </w:rPr>
        <w:t xml:space="preserve">Formal Label: </w:t>
      </w:r>
      <w:r>
        <w:rPr>
          <w:rFonts w:cs="Times New Roman" w:ascii="Times New Roman" w:hAnsi="Times New Roman"/>
          <w:b w:val="false"/>
          <w:sz w:val="24"/>
          <w:szCs w:val="24"/>
        </w:rPr>
        <w:t>Thailand-Ban Chiang-Bangle-Shell-3600 BCE</w:t>
      </w:r>
    </w:p>
    <w:p>
      <w:pPr>
        <w:pStyle w:val="Normal"/>
        <w:rPr/>
      </w:pPr>
      <w:r>
        <w:rPr>
          <w:rFonts w:cs="Times New Roman" w:ascii="Times New Roman" w:hAnsi="Times New Roman"/>
          <w:b w:val="false"/>
          <w:sz w:val="24"/>
          <w:szCs w:val="24"/>
        </w:rPr>
        <w:t>Case no.:</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Accession Number:</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 xml:space="preserve">Formal Label: Thailand-Ban Chiang-Bangle-Shell-3600 BCE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Display Description: This Ban Chiang shell bangle may date to the earliest graves c 2100 BCE, before the smelting of bronze, since crucibles and bronze fragments do not show up in the archaeological record until 2000 BCE</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LC Classification: DS589.B17</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Date or Time Horizon: 300 BCE-300 CE</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Geographical Area: Ban Chiang, Udon Thani, Thailand</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 xml:space="preserve">Map: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drawing>
          <wp:inline distT="0" distB="0" distL="0" distR="0">
            <wp:extent cx="4092575" cy="2701290"/>
            <wp:effectExtent l="0" t="0" r="0" b="0"/>
            <wp:docPr id="2"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title=""/>
                    <pic:cNvPicPr>
                      <a:picLocks noChangeAspect="1" noChangeArrowheads="1"/>
                    </pic:cNvPicPr>
                  </pic:nvPicPr>
                  <pic:blipFill>
                    <a:blip r:embed="rId3"/>
                    <a:srcRect l="-7" t="-11" r="-7" b="-11"/>
                    <a:stretch>
                      <a:fillRect/>
                    </a:stretch>
                  </pic:blipFill>
                  <pic:spPr bwMode="auto">
                    <a:xfrm>
                      <a:off x="0" y="0"/>
                      <a:ext cx="4092575" cy="2701290"/>
                    </a:xfrm>
                    <a:prstGeom prst="rect">
                      <a:avLst/>
                    </a:prstGeom>
                  </pic:spPr>
                </pic:pic>
              </a:graphicData>
            </a:graphic>
          </wp:inline>
        </w:drawing>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Fig. 4. Ban Chiang is near Vientiane</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drawing>
          <wp:inline distT="0" distB="0" distL="0" distR="0">
            <wp:extent cx="4291330" cy="285877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9" t="-15" r="-9" b="-15"/>
                    <a:stretch>
                      <a:fillRect/>
                    </a:stretch>
                  </pic:blipFill>
                  <pic:spPr bwMode="auto">
                    <a:xfrm>
                      <a:off x="0" y="0"/>
                      <a:ext cx="4291330" cy="2858770"/>
                    </a:xfrm>
                    <a:prstGeom prst="rect">
                      <a:avLst/>
                    </a:prstGeom>
                  </pic:spPr>
                </pic:pic>
              </a:graphicData>
            </a:graphic>
          </wp:inline>
        </w:drawing>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Fig. 6. Detail of Ban Chiang location</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 xml:space="preserve">GPS coordinates: </w:t>
      </w:r>
      <w:hyperlink r:id="rId5">
        <w:r>
          <w:rPr>
            <w:rStyle w:val="InternetLink"/>
            <w:rFonts w:cs="Times New Roman" w:ascii="Times New Roman" w:hAnsi="Times New Roman"/>
            <w:b/>
            <w:sz w:val="24"/>
            <w:szCs w:val="24"/>
          </w:rPr>
          <w:t>17°24′25″N 103°14′29″E</w:t>
        </w:r>
      </w:hyperlink>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 xml:space="preserve">Cultural Affiliation: Ban Chiang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Medium: Clay</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Dimensions: 14 cm at widest and 14.5 cm high</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Weight:  660 gm</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Condition: original</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Provenance: Thailand</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Discussion:</w:t>
      </w:r>
    </w:p>
    <w:p>
      <w:pPr>
        <w:pStyle w:val="Normal"/>
        <w:rPr/>
      </w:pPr>
      <w:r>
        <w:rPr>
          <w:rFonts w:cs="Times New Roman" w:ascii="Times New Roman" w:hAnsi="Times New Roman"/>
          <w:b w:val="false"/>
          <w:sz w:val="24"/>
          <w:szCs w:val="24"/>
        </w:rPr>
        <w:t>A date of 2100 BCE was obtained from rice phytoliths from inside a grave vessel of the lowest grave. A dating program for this site has involved dating the bones from the people who lived at Ban Chiang and the bones of animals interred with them. The resulting determinations have been analyzed using the Bayesian statistic OxCal 4.0, and the results suggested that the initial settlement of Ban Chiang took place by about 1500 BCE, with the transition to the Bronze Age about 1000 BCE.</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References:</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 xml:space="preserve">Higham, Charles. 1998. </w:t>
      </w:r>
      <w:r>
        <w:rPr>
          <w:rFonts w:cs="Times New Roman" w:ascii="Times New Roman" w:hAnsi="Times New Roman"/>
          <w:b w:val="false"/>
          <w:i/>
          <w:sz w:val="24"/>
          <w:szCs w:val="24"/>
        </w:rPr>
        <w:t>Prehistoric Thailand</w:t>
      </w:r>
      <w:r>
        <w:rPr>
          <w:rFonts w:cs="Times New Roman" w:ascii="Times New Roman" w:hAnsi="Times New Roman"/>
          <w:b w:val="false"/>
          <w:sz w:val="24"/>
          <w:szCs w:val="24"/>
        </w:rPr>
        <w:t>. River Books; 1st Edition edition.</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 xml:space="preserve">Higham C.F.W. and T.F.G. Higham 2009. “A new chronological framework for prehistoric Southeast Asia, based on a Bayesian model from Ban Non Wat,” </w:t>
      </w:r>
      <w:r>
        <w:rPr>
          <w:rFonts w:cs="Times New Roman" w:ascii="Times New Roman" w:hAnsi="Times New Roman"/>
          <w:b w:val="false"/>
          <w:i/>
          <w:sz w:val="24"/>
          <w:szCs w:val="24"/>
        </w:rPr>
        <w:t>Antiquity</w:t>
      </w:r>
      <w:r>
        <w:rPr>
          <w:rFonts w:cs="Times New Roman" w:ascii="Times New Roman" w:hAnsi="Times New Roman"/>
          <w:b w:val="false"/>
          <w:sz w:val="24"/>
          <w:szCs w:val="24"/>
        </w:rPr>
        <w:t xml:space="preserve"> 82:1-20.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 xml:space="preserve">Higham C.F.W. 2011. The Bronze Age of Southeast Asia: new insight on social change from Ban Non Wat. </w:t>
      </w:r>
      <w:r>
        <w:rPr>
          <w:rFonts w:cs="Times New Roman" w:ascii="Times New Roman" w:hAnsi="Times New Roman"/>
          <w:b w:val="false"/>
          <w:i/>
          <w:sz w:val="24"/>
          <w:szCs w:val="24"/>
        </w:rPr>
        <w:t>Cambridge Archaeological Journal</w:t>
      </w:r>
      <w:r>
        <w:rPr>
          <w:rFonts w:cs="Times New Roman" w:ascii="Times New Roman" w:hAnsi="Times New Roman"/>
          <w:b w:val="false"/>
          <w:sz w:val="24"/>
          <w:szCs w:val="24"/>
        </w:rPr>
        <w:t xml:space="preserve"> 21(3): 365-89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 xml:space="preserve">Higham C.F.W., R. Ciarla, T.F.G. Higham, A. Kijngam and F. Rispoli. 2011. “The establishment of the Bronze Age in Southeast Asia,” </w:t>
      </w:r>
      <w:r>
        <w:rPr>
          <w:rFonts w:cs="Times New Roman" w:ascii="Times New Roman" w:hAnsi="Times New Roman"/>
          <w:b w:val="false"/>
          <w:i/>
          <w:sz w:val="24"/>
          <w:szCs w:val="24"/>
        </w:rPr>
        <w:t>Journal of World Prehistory</w:t>
      </w:r>
      <w:r>
        <w:rPr>
          <w:rFonts w:cs="Times New Roman" w:ascii="Times New Roman" w:hAnsi="Times New Roman"/>
          <w:b w:val="false"/>
          <w:sz w:val="24"/>
          <w:szCs w:val="24"/>
        </w:rPr>
        <w:t xml:space="preserve"> 24 (4),227-274: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 xml:space="preserve">Higham C.F.W., T.F.G. Higham and A. Kijngam. 2011. “Cutting a Gordian Knot: The Bronze Age of Southeast Asia, timing, origins and impact,” </w:t>
      </w:r>
      <w:r>
        <w:rPr>
          <w:rFonts w:cs="Times New Roman" w:ascii="Times New Roman" w:hAnsi="Times New Roman"/>
          <w:b w:val="false"/>
          <w:i/>
          <w:sz w:val="24"/>
          <w:szCs w:val="24"/>
        </w:rPr>
        <w:t>Antiquity</w:t>
      </w:r>
      <w:r>
        <w:rPr>
          <w:rFonts w:cs="Times New Roman" w:ascii="Times New Roman" w:hAnsi="Times New Roman"/>
          <w:b w:val="false"/>
          <w:sz w:val="24"/>
          <w:szCs w:val="24"/>
        </w:rPr>
        <w:t xml:space="preserve"> 85:583-98.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 xml:space="preserve">Pietrusewsky, Michael; Douglas, Michele T. (Michele Toomay) 2001. "Intensification of Agriculture at Ban Chiang: Is There Evidence from the Skeletons?" </w:t>
      </w:r>
      <w:r>
        <w:rPr>
          <w:rFonts w:cs="Times New Roman" w:ascii="Times New Roman" w:hAnsi="Times New Roman"/>
          <w:b w:val="false"/>
          <w:i/>
          <w:sz w:val="24"/>
          <w:szCs w:val="24"/>
        </w:rPr>
        <w:t>Asian Perspectives</w:t>
      </w:r>
      <w:r>
        <w:rPr>
          <w:rFonts w:cs="Times New Roman" w:ascii="Times New Roman" w:hAnsi="Times New Roman"/>
          <w:b w:val="false"/>
          <w:sz w:val="24"/>
          <w:szCs w:val="24"/>
        </w:rPr>
        <w:t xml:space="preserve"> 40 (2): 157–178.</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 xml:space="preserve">White, J.C. and Hamilton, E. G. 2009. “The Transmission of Early Bronze Technology to Thailand: New Perspectives,” </w:t>
      </w:r>
      <w:r>
        <w:rPr>
          <w:rFonts w:cs="Times New Roman" w:ascii="Times New Roman" w:hAnsi="Times New Roman"/>
          <w:b w:val="false"/>
          <w:i/>
          <w:sz w:val="24"/>
          <w:szCs w:val="24"/>
        </w:rPr>
        <w:t>World Prehistory</w:t>
      </w:r>
      <w:r>
        <w:rPr>
          <w:rFonts w:cs="Times New Roman" w:ascii="Times New Roman" w:hAnsi="Times New Roman"/>
          <w:b w:val="false"/>
          <w:sz w:val="24"/>
          <w:szCs w:val="24"/>
        </w:rPr>
        <w:t xml:space="preserve"> 22: 357–397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 xml:space="preserve">White, J.C. 2008 “Dating Early Bronze at Ban Chiang, Thailand.” In </w:t>
      </w:r>
      <w:r>
        <w:rPr>
          <w:rFonts w:cs="Times New Roman" w:ascii="Times New Roman" w:hAnsi="Times New Roman"/>
          <w:b w:val="false"/>
          <w:i/>
          <w:sz w:val="24"/>
          <w:szCs w:val="24"/>
        </w:rPr>
        <w:t>From Homo erectus to the Living Traditions</w:t>
      </w:r>
      <w:r>
        <w:rPr>
          <w:rFonts w:cs="Times New Roman" w:ascii="Times New Roman" w:hAnsi="Times New Roman"/>
          <w:b w:val="false"/>
          <w:sz w:val="24"/>
          <w:szCs w:val="24"/>
        </w:rPr>
        <w:t xml:space="preserve">. </w:t>
      </w:r>
      <w:r>
        <w:rPr>
          <w:rFonts w:cs="Times New Roman" w:ascii="Times New Roman" w:hAnsi="Times New Roman"/>
          <w:b w:val="false"/>
          <w:sz w:val="24"/>
          <w:szCs w:val="24"/>
          <w:lang w:val="fr-FR"/>
        </w:rPr>
        <w:t xml:space="preserve">Pautreau, J.-P.; Coupey, A.-S.; Zeitoun, V.; Rambault, E., editors. </w:t>
      </w:r>
      <w:r>
        <w:rPr>
          <w:rFonts w:cs="Times New Roman" w:ascii="Times New Roman" w:hAnsi="Times New Roman"/>
          <w:b w:val="false"/>
          <w:sz w:val="24"/>
          <w:szCs w:val="24"/>
        </w:rPr>
        <w:t xml:space="preserve">European Association of Southeast Asian Archaeologists, Chiang Mai, pp. 91-104.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White, J. C. 1995. “Incorporating Heterarchy into Theory on Socio</w:t>
      </w:r>
      <w:r>
        <w:rPr>
          <w:rFonts w:cs="Cambria Math" w:ascii="Cambria Math" w:hAnsi="Cambria Math"/>
          <w:b w:val="false"/>
          <w:sz w:val="24"/>
          <w:szCs w:val="24"/>
        </w:rPr>
        <w:t>‐</w:t>
      </w:r>
      <w:r>
        <w:rPr>
          <w:rFonts w:cs="Times New Roman" w:ascii="Times New Roman" w:hAnsi="Times New Roman"/>
          <w:b w:val="false"/>
          <w:sz w:val="24"/>
          <w:szCs w:val="24"/>
        </w:rPr>
        <w:t xml:space="preserve">political Development: The Case from Southeast Asia,” </w:t>
      </w:r>
      <w:r>
        <w:rPr>
          <w:rFonts w:cs="Times New Roman" w:ascii="Times New Roman" w:hAnsi="Times New Roman"/>
          <w:b w:val="false"/>
          <w:i/>
          <w:sz w:val="24"/>
          <w:szCs w:val="24"/>
        </w:rPr>
        <w:t>Archeological Papers of the American Anthropological Association</w:t>
      </w:r>
      <w:r>
        <w:rPr>
          <w:rFonts w:cs="Times New Roman" w:ascii="Times New Roman" w:hAnsi="Times New Roman"/>
          <w:b w:val="false"/>
          <w:sz w:val="24"/>
          <w:szCs w:val="24"/>
        </w:rPr>
        <w:t xml:space="preserve">, 6(1), 101-123.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mbria Math">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pPrDefault>
  </w:docDefaults>
  <w:style w:type="paragraph" w:styleId="Normal">
    <w:name w:val="Normal"/>
    <w:qFormat/>
    <w:pPr>
      <w:widowControl/>
      <w:bidi w:val="0"/>
    </w:pPr>
    <w:rPr>
      <w:rFonts w:ascii="Arial" w:hAnsi="Arial" w:eastAsia="SimSun;宋体" w:cs="Arial"/>
      <w:b/>
      <w:bCs/>
      <w:color w:val="auto"/>
      <w:sz w:val="26"/>
      <w:szCs w:val="26"/>
      <w:lang w:val="en-US" w:eastAsia="zh-CN" w:bidi="ar-SA"/>
    </w:rPr>
  </w:style>
  <w:style w:type="paragraph" w:styleId="Heading2">
    <w:name w:val="Heading 2"/>
    <w:basedOn w:val="Normal"/>
    <w:next w:val="TextBody"/>
    <w:qFormat/>
    <w:pPr>
      <w:numPr>
        <w:ilvl w:val="1"/>
        <w:numId w:val="1"/>
      </w:numPr>
      <w:spacing w:before="280" w:after="280"/>
      <w:outlineLvl w:val="1"/>
    </w:pPr>
    <w:rPr>
      <w:rFonts w:ascii="Times New Roman" w:hAnsi="Times New Roman" w:cs="Times New Roman"/>
      <w:sz w:val="36"/>
      <w:szCs w:val="36"/>
    </w:rPr>
  </w:style>
  <w:style w:type="character" w:styleId="DefaultParagraphFont">
    <w:name w:val="Default Paragraph Font"/>
    <w:qFormat/>
    <w:rPr/>
  </w:style>
  <w:style w:type="character" w:styleId="Orderdetailsalignprinterversion">
    <w:name w:val="orderdetails_alignprinterversion"/>
    <w:basedOn w:val="DefaultParagraphFont"/>
    <w:qFormat/>
    <w:rPr/>
  </w:style>
  <w:style w:type="character" w:styleId="InternetLink">
    <w:name w:val="Internet Link"/>
    <w:rPr>
      <w:color w:val="0000FF"/>
      <w:u w:val="single"/>
    </w:rPr>
  </w:style>
  <w:style w:type="character" w:styleId="Mbgnw">
    <w:name w:val="mbg-nw"/>
    <w:basedOn w:val="DefaultParagraphFont"/>
    <w:qFormat/>
    <w:rPr/>
  </w:style>
  <w:style w:type="character" w:styleId="Mbgl">
    <w:name w:val="mbg-l"/>
    <w:basedOn w:val="DefaultParagraphFont"/>
    <w:qFormat/>
    <w:rPr/>
  </w:style>
  <w:style w:type="character" w:styleId="StrongEmphasis">
    <w:name w:val="Strong Emphasis"/>
    <w:qFormat/>
    <w:rPr>
      <w:b/>
      <w:bCs/>
    </w:rPr>
  </w:style>
  <w:style w:type="character" w:styleId="VisitedInternetLink">
    <w:name w:val="Visited Internet Link"/>
    <w:rPr>
      <w:color w:val="954F72"/>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ascii="Times New Roman" w:hAnsi="Times New Roman" w:cs="Times New Roman"/>
      <w:b w:val="false"/>
      <w:bCs w:val="false"/>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tools.wmflabs.org/geohack/geohack.php?pagename=Ban_Chiang&amp;params=17.4069_N_103.2414_E_type:landmark_region:TH-41"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2019-01-14T16:18:00Z</dcterms:created>
  <dc:creator>USER</dc:creator>
  <dc:description/>
  <cp:keywords/>
  <dc:language>en-US</dc:language>
  <cp:lastModifiedBy>Coffman</cp:lastModifiedBy>
  <dcterms:modified xsi:type="dcterms:W3CDTF">2019-01-14T16:18:00Z</dcterms:modified>
  <cp:revision>2</cp:revision>
  <dc:subject/>
  <dc:title>`Asia-Thailand-Ban Chiang-Copper artifacts</dc:title>
</cp:coreProperties>
</file>