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2.wmf" ContentType="image/x-wmf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8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mallCaps/>
          <w:color w:val="5B9BD5"/>
          <w:spacing w:val="5"/>
        </w:rPr>
      </w:pPr>
      <w:r>
        <w:rPr/>
        <w:t>Case 6-Asia-China-Zhou-Gui Tureen-Bronze-1000 BCE</w:t>
      </w:r>
    </w:p>
    <w:p>
      <w:pPr>
        <w:pStyle w:val="Normal"/>
        <w:rPr>
          <w:b/>
          <w:b/>
          <w:bCs/>
          <w:smallCaps/>
          <w:color w:val="5B9BD5"/>
          <w:spacing w:val="5"/>
        </w:rPr>
      </w:pPr>
      <w:r>
        <w:rPr>
          <w:b/>
          <w:bCs/>
          <w:smallCaps/>
          <w:color w:val="5B9BD5"/>
          <w:spacing w:val="5"/>
        </w:rPr>
      </w:r>
    </w:p>
    <w:p>
      <w:pPr>
        <w:pStyle w:val="Normal"/>
        <w:rPr/>
      </w:pPr>
      <w:r>
        <w:rPr/>
        <w:drawing>
          <wp:inline distT="0" distB="0" distL="0" distR="0">
            <wp:extent cx="5234940" cy="33426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rStyle w:val="StrongEmphasis"/>
        </w:rPr>
        <w:t xml:space="preserve">Accession Number: </w:t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/>
      </w:pPr>
      <w:r>
        <w:rPr>
          <w:b/>
        </w:rPr>
        <w:t>Display Description:</w:t>
      </w:r>
    </w:p>
    <w:p>
      <w:pPr>
        <w:pStyle w:val="Normal"/>
        <w:rPr/>
      </w:pPr>
      <w:r>
        <w:rPr/>
        <w:t>Edward L. Shaughnessy has identified four different Western Zhou Gui styles of which he has called this Style I or the Li Gui style, the earliest of which is characterized as the most heterogeneous with a “pronounced relief décor of facing animal heads and by flamboyant handles and flanges” (Shaughnessy 1992: 129 and fig. 2a).</w:t>
      </w:r>
    </w:p>
    <w:p>
      <w:pPr>
        <w:pStyle w:val="Normal"/>
        <w:rPr/>
      </w:pPr>
      <w:r>
        <w:rPr>
          <w:rStyle w:val="StrongEmphasis"/>
        </w:rPr>
        <w:t>LC Classification:</w:t>
      </w:r>
      <w:r>
        <w:rPr/>
        <w:t xml:space="preserve"> NK7983.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1000 BCE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Geographical Area: Zhou Kingdom</w:t>
      </w:r>
    </w:p>
    <w:p>
      <w:pPr>
        <w:pStyle w:val="Normal"/>
        <w:rPr/>
      </w:pPr>
      <w:r>
        <w:rPr>
          <w:rStyle w:val="StrongEmphasis"/>
        </w:rPr>
        <w:t xml:space="preserve">Map: </w:t>
      </w:r>
    </w:p>
    <w:p>
      <w:pPr>
        <w:pStyle w:val="Normal"/>
        <w:rPr>
          <w:rStyle w:val="StrongEmphasis"/>
        </w:rPr>
      </w:pPr>
      <w:r>
        <w:rPr/>
        <w:object>
          <v:shape id="ole_rId3" style="width:220.9pt;height:171.8pt" o:ole="">
            <v:imagedata r:id="rId4" o:title=""/>
          </v:shape>
          <o:OLEObject Type="Embed" ProgID="" ShapeID="ole_rId3" DrawAspect="Content" ObjectID="_1258476226" r:id="rId3"/>
        </w:object>
      </w:r>
    </w:p>
    <w:p>
      <w:pPr>
        <w:pStyle w:val="Normal"/>
        <w:rPr>
          <w:color w:val="0000FF"/>
          <w:u w:val="single"/>
        </w:rPr>
      </w:pPr>
      <w:r>
        <w:rPr>
          <w:rStyle w:val="StrongEmphasis"/>
        </w:rPr>
        <w:t>GPS Coordinates: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Zhou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Bronze</w:t>
      </w:r>
    </w:p>
    <w:p>
      <w:pPr>
        <w:pStyle w:val="Normal"/>
        <w:rPr/>
      </w:pPr>
      <w:r>
        <w:rPr>
          <w:b/>
          <w:lang w:val="fr-FR"/>
        </w:rPr>
        <w:t>Dimensions</w:t>
      </w:r>
      <w:r>
        <w:rPr>
          <w:lang w:val="fr-FR"/>
        </w:rPr>
        <w:t xml:space="preserve">: </w:t>
        <w:br/>
      </w:r>
      <w:r>
        <w:rPr>
          <w:b/>
          <w:lang w:val="fr-FR"/>
        </w:rPr>
        <w:t xml:space="preserve">Weight: </w:t>
      </w:r>
    </w:p>
    <w:p>
      <w:pPr>
        <w:pStyle w:val="Normal"/>
        <w:rPr>
          <w:b/>
          <w:b/>
          <w:lang w:val="fr-FR"/>
        </w:rPr>
      </w:pPr>
      <w:r>
        <w:rPr>
          <w:b/>
          <w:lang w:val="fr-FR"/>
        </w:rPr>
        <w:t>Provenance</w:t>
      </w:r>
      <w:r>
        <w:rPr>
          <w:rStyle w:val="StrongEmphasis"/>
          <w:b w:val="false"/>
          <w:lang w:val="fr-FR"/>
        </w:rPr>
        <w:t xml:space="preserve">: </w:t>
      </w:r>
    </w:p>
    <w:p>
      <w:pPr>
        <w:pStyle w:val="Normal"/>
        <w:rPr/>
      </w:pPr>
      <w:r>
        <w:rPr>
          <w:b/>
          <w:lang w:val="fr-FR"/>
        </w:rPr>
        <w:t xml:space="preserve">Condition: </w:t>
      </w:r>
    </w:p>
    <w:p>
      <w:pPr>
        <w:pStyle w:val="Normal"/>
        <w:rPr/>
      </w:pPr>
      <w:r>
        <w:rPr>
          <w:b/>
        </w:rPr>
        <w:t>Discussion:</w:t>
      </w:r>
    </w:p>
    <w:p>
      <w:pPr>
        <w:pStyle w:val="Normal"/>
        <w:rPr/>
      </w:pPr>
      <w:r>
        <w:rPr/>
        <w:t>A comparable example is in the Avery Brundage Collection ( d'Argencé 1967:34-35, no. IX).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/>
      </w:pPr>
      <w:r>
        <w:rPr/>
        <w:t>d'Argencé, René-Yvon Lefebvre. 1967. Bronze vessels of ancient China in the Avery Brundage Collection. San Francisco: Asian Art Museum of San Francisco. [Berkeley, Calif.]: Published by Diablo Press for the De Young Museum Society</w:t>
      </w:r>
    </w:p>
    <w:p>
      <w:pPr>
        <w:pStyle w:val="Normal"/>
        <w:rPr>
          <w:b/>
          <w:b/>
        </w:rPr>
      </w:pPr>
      <w:r>
        <w:rPr>
          <w:color w:val="222222"/>
          <w:shd w:fill="FFFFFF" w:val="clear"/>
        </w:rPr>
        <w:t>Shaughnessy, E.L., 1992. </w:t>
      </w:r>
      <w:r>
        <w:rPr>
          <w:i/>
          <w:iCs/>
          <w:color w:val="222222"/>
          <w:shd w:fill="FFFFFF" w:val="clear"/>
        </w:rPr>
        <w:t>Sources of Western Zhou history: inscribed bronze vessels</w:t>
      </w:r>
      <w:r>
        <w:rPr>
          <w:color w:val="222222"/>
          <w:shd w:fill="FFFFFF" w:val="clear"/>
        </w:rPr>
        <w:t>. Los Angeles: University of California Press.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Appendix:</w:t>
      </w:r>
    </w:p>
    <w:p>
      <w:pPr>
        <w:pStyle w:val="Normal"/>
        <w:rPr/>
      </w:pPr>
      <w:r>
        <w:rPr/>
        <w:drawing>
          <wp:inline distT="0" distB="0" distL="0" distR="0">
            <wp:extent cx="3949700" cy="2221865"/>
            <wp:effectExtent l="0" t="0" r="0" b="0"/>
            <wp:docPr id="2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81805" cy="273431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57675" cy="252666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662805" cy="474027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3505835" cy="247015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155180" cy="4393565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200015" cy="2896870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3348990" cy="43180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852160" cy="3281680"/>
            <wp:effectExtent l="0" t="0" r="0" b="0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633720" cy="3270250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984240" cy="4480560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858000" cy="9696450"/>
            <wp:effectExtent l="0" t="0" r="0" b="0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IntenseReference">
    <w:name w:val="Intense Reference"/>
    <w:qFormat/>
    <w:rPr>
      <w:b/>
      <w:bCs/>
      <w:smallCaps/>
      <w:color w:val="5B9BD5"/>
      <w:spacing w:val="5"/>
    </w:rPr>
  </w:style>
  <w:style w:type="character" w:styleId="St">
    <w:name w:val="st"/>
    <w:qFormat/>
    <w:rPr/>
  </w:style>
  <w:style w:type="character" w:styleId="Emphasis">
    <w:name w:val="Emphasis"/>
    <w:qFormat/>
    <w:rPr>
      <w:i/>
      <w:iCs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oleObject" Target="embeddings/oleObject1.bin"/><Relationship Id="rId4" Type="http://schemas.openxmlformats.org/officeDocument/2006/relationships/image" Target="media/image2.wmf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2019-01-09T11:32:00Z</dcterms:created>
  <dc:creator>USER</dc:creator>
  <dc:description/>
  <cp:keywords/>
  <dc:language>en-US</dc:language>
  <cp:lastModifiedBy>Coffman</cp:lastModifiedBy>
  <dcterms:modified xsi:type="dcterms:W3CDTF">2019-01-09T11:32:00Z</dcterms:modified>
  <cp:revision>2</cp:revision>
  <dc:subject/>
  <dc:title>Asia-China-Bronze-Shang-Kuei</dc:title>
</cp:coreProperties>
</file>