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AM2000-Asia-China-Jade-Bronze-Warring States-450-221 BCE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  <w:t>Bronze Jade-Mosaic Mirror</w:t>
      </w:r>
      <w:r>
        <w:rPr>
          <w:sz w:val="20"/>
          <w:szCs w:val="20"/>
        </w:rPr>
        <w:t>镶嵌玉琉璃锺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rStyle w:val="Hps"/>
          <w:lang w:val="en"/>
        </w:rPr>
        <w:t>Fuluoyuanjin Village</w:t>
      </w:r>
      <w:r>
        <w:rPr>
          <w:sz w:val="20"/>
          <w:szCs w:val="20"/>
        </w:rPr>
        <w:t>傅洛院金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村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5109845" cy="51034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"/>
        </w:rPr>
        <w:t xml:space="preserve">The </w:t>
      </w:r>
      <w:r>
        <w:rPr>
          <w:rStyle w:val="Hps"/>
          <w:lang w:val="en"/>
        </w:rPr>
        <w:t>inlaid</w:t>
      </w:r>
      <w:r>
        <w:rPr>
          <w:lang w:val="en"/>
        </w:rPr>
        <w:t xml:space="preserve"> </w:t>
      </w:r>
      <w:r>
        <w:rPr>
          <w:rStyle w:val="Hps"/>
          <w:lang w:val="en"/>
        </w:rPr>
        <w:t>jade</w:t>
      </w:r>
      <w:r>
        <w:rPr>
          <w:lang w:val="en"/>
        </w:rPr>
        <w:t xml:space="preserve"> </w:t>
      </w:r>
      <w:r>
        <w:rPr>
          <w:rStyle w:val="Hps"/>
          <w:lang w:val="en"/>
        </w:rPr>
        <w:t>Liuli</w:t>
      </w:r>
      <w:r>
        <w:rPr>
          <w:lang w:val="en"/>
        </w:rPr>
        <w:t xml:space="preserve"> </w:t>
      </w:r>
      <w:r>
        <w:rPr>
          <w:rStyle w:val="Hps"/>
          <w:lang w:val="en"/>
        </w:rPr>
        <w:t>Chung</w:t>
      </w:r>
      <w:r>
        <w:rPr>
          <w:lang w:val="en"/>
        </w:rPr>
        <w:br/>
        <w:t xml:space="preserve">Saddle </w:t>
      </w:r>
      <w:r>
        <w:rPr>
          <w:rStyle w:val="Hps"/>
          <w:lang w:val="en"/>
        </w:rPr>
        <w:t>round</w:t>
      </w:r>
      <w:r>
        <w:rPr>
          <w:lang w:val="en"/>
        </w:rPr>
        <w:br/>
        <w:t xml:space="preserve">Helpless </w:t>
      </w:r>
      <w:r>
        <w:rPr>
          <w:rStyle w:val="Hps"/>
          <w:lang w:val="en"/>
        </w:rPr>
        <w:t>twelve</w:t>
      </w:r>
      <w:r>
        <w:rPr>
          <w:lang w:val="en"/>
        </w:rPr>
        <w:t xml:space="preserve"> </w:t>
      </w:r>
      <w:r>
        <w:rPr>
          <w:rStyle w:val="Hps"/>
          <w:lang w:val="en"/>
        </w:rPr>
        <w:t>•</w:t>
      </w:r>
      <w:r>
        <w:rPr>
          <w:lang w:val="en"/>
        </w:rPr>
        <w:t xml:space="preserve"> </w:t>
      </w:r>
      <w:r>
        <w:rPr>
          <w:rStyle w:val="Hps"/>
          <w:lang w:val="en"/>
        </w:rPr>
        <w:t>two centimeters</w:t>
      </w:r>
      <w:r>
        <w:rPr>
          <w:lang w:val="en"/>
        </w:rPr>
        <w:t xml:space="preserve"> </w:t>
      </w:r>
      <w:r>
        <w:rPr>
          <w:rStyle w:val="Hps"/>
          <w:lang w:val="en"/>
        </w:rPr>
        <w:t>Fu</w:t>
      </w:r>
      <w:r>
        <w:rPr>
          <w:lang w:val="en"/>
        </w:rPr>
        <w:t xml:space="preserve"> </w:t>
      </w:r>
      <w:r>
        <w:rPr>
          <w:rStyle w:val="Hps"/>
          <w:lang w:val="en"/>
        </w:rPr>
        <w:t>Luo</w:t>
      </w:r>
      <w:r>
        <w:rPr>
          <w:lang w:val="en"/>
        </w:rPr>
        <w:t xml:space="preserve"> </w:t>
      </w:r>
      <w:r>
        <w:rPr>
          <w:rStyle w:val="Hps"/>
          <w:lang w:val="en"/>
        </w:rPr>
        <w:t>Institute</w:t>
      </w:r>
      <w:r>
        <w:rPr>
          <w:lang w:val="en"/>
        </w:rPr>
        <w:t xml:space="preserve"> </w:t>
      </w:r>
      <w:r>
        <w:rPr>
          <w:rStyle w:val="Hps"/>
          <w:lang w:val="en"/>
        </w:rPr>
        <w:t>Golden</w:t>
      </w:r>
      <w:r>
        <w:rPr>
          <w:lang w:val="en"/>
        </w:rPr>
        <w:t xml:space="preserve"> </w:t>
      </w:r>
      <w:r>
        <w:rPr>
          <w:rStyle w:val="Hps"/>
          <w:lang w:val="en"/>
        </w:rPr>
        <w:t>Village</w:t>
      </w:r>
      <w:r>
        <w:rPr>
          <w:lang w:val="en"/>
        </w:rPr>
        <w:t xml:space="preserve"> </w:t>
      </w:r>
      <w:r>
        <w:rPr>
          <w:rStyle w:val="Hps"/>
          <w:lang w:val="en"/>
        </w:rPr>
        <w:t>unearthed</w:t>
      </w:r>
      <w:r>
        <w:rPr>
          <w:lang w:val="en"/>
        </w:rPr>
        <w:br/>
        <w:t xml:space="preserve">Blue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Liuli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</w:t>
      </w:r>
      <w:r>
        <w:rPr>
          <w:lang w:val="en"/>
        </w:rPr>
        <w:t xml:space="preserve"> </w:t>
      </w:r>
      <w:r>
        <w:rPr>
          <w:rStyle w:val="Hpsatn"/>
          <w:lang w:val="en"/>
        </w:rPr>
        <w:t>'</w:t>
      </w:r>
      <w:r>
        <w:rPr>
          <w:lang w:val="en"/>
        </w:rPr>
        <w:t xml:space="preserve">with </w:t>
      </w:r>
      <w:r>
        <w:rPr>
          <w:rStyle w:val="Hps"/>
          <w:lang w:val="en"/>
        </w:rPr>
        <w:t>a white</w:t>
      </w:r>
      <w:r>
        <w:rPr>
          <w:lang w:val="en"/>
        </w:rPr>
        <w:t xml:space="preserve"> </w:t>
      </w:r>
      <w:r>
        <w:rPr>
          <w:rStyle w:val="Hps"/>
          <w:lang w:val="en"/>
        </w:rPr>
        <w:t>ferrule</w:t>
      </w:r>
      <w:r>
        <w:rPr>
          <w:lang w:val="en"/>
        </w:rPr>
        <w:t xml:space="preserve"> </w:t>
      </w:r>
      <w:r>
        <w:rPr>
          <w:rStyle w:val="Hps"/>
          <w:lang w:val="en"/>
        </w:rPr>
        <w:t>grabbing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girl</w:t>
      </w:r>
      <w:r>
        <w:rPr>
          <w:lang w:val="en"/>
        </w:rPr>
        <w:t xml:space="preserve">, Block </w:t>
      </w:r>
      <w:r>
        <w:rPr>
          <w:rStyle w:val="Hps"/>
          <w:lang w:val="en"/>
        </w:rPr>
        <w:t>jade</w:t>
      </w:r>
      <w:r>
        <w:rPr>
          <w:lang w:val="en"/>
        </w:rPr>
        <w:t xml:space="preserve"> </w:t>
      </w:r>
      <w:r>
        <w:rPr>
          <w:rStyle w:val="Hps"/>
          <w:lang w:val="en"/>
        </w:rPr>
        <w:t>flaw</w:t>
      </w:r>
      <w:r>
        <w:rPr>
          <w:lang w:val="en"/>
        </w:rPr>
        <w:t xml:space="preserve">. </w:t>
      </w:r>
      <w:r>
        <w:rPr>
          <w:rStyle w:val="Hps"/>
          <w:lang w:val="en"/>
        </w:rPr>
        <w:t>Outer</w:t>
      </w:r>
      <w:r>
        <w:rPr>
          <w:lang w:val="en"/>
        </w:rPr>
        <w:t xml:space="preserve"> </w:t>
      </w:r>
      <w:r>
        <w:rPr>
          <w:rStyle w:val="Hps"/>
          <w:lang w:val="en"/>
        </w:rPr>
        <w:t>ferrule</w:t>
      </w:r>
      <w:r>
        <w:rPr>
          <w:lang w:val="en"/>
        </w:rPr>
        <w:t xml:space="preserve"> </w:t>
      </w:r>
      <w:r>
        <w:rPr>
          <w:rStyle w:val="Hps"/>
          <w:lang w:val="en"/>
        </w:rPr>
        <w:t>relative</w:t>
      </w:r>
      <w:r>
        <w:rPr>
          <w:lang w:val="en"/>
        </w:rPr>
        <w:t xml:space="preserve"> </w:t>
      </w:r>
      <w:r>
        <w:rPr>
          <w:rStyle w:val="Hps"/>
          <w:lang w:val="en"/>
        </w:rPr>
        <w:t>wide</w:t>
      </w:r>
      <w:r>
        <w:rPr>
          <w:lang w:val="en"/>
        </w:rPr>
        <w:t xml:space="preserve"> </w:t>
      </w:r>
      <w:r>
        <w:rPr>
          <w:rStyle w:val="Hps"/>
          <w:lang w:val="en"/>
        </w:rPr>
        <w:t>blue</w:t>
      </w:r>
      <w:r>
        <w:rPr>
          <w:lang w:val="en"/>
        </w:rPr>
        <w:t xml:space="preserve"> </w:t>
      </w:r>
      <w:r>
        <w:rPr>
          <w:rStyle w:val="Hps"/>
          <w:lang w:val="en"/>
        </w:rPr>
        <w:t>colored glaze</w:t>
      </w:r>
      <w:r>
        <w:rPr>
          <w:lang w:val="en"/>
        </w:rPr>
        <w:t xml:space="preserve"> </w:t>
      </w:r>
      <w:r>
        <w:rPr>
          <w:rStyle w:val="Hps"/>
          <w:lang w:val="en"/>
        </w:rPr>
        <w:t>embedded</w:t>
      </w:r>
      <w:r>
        <w:rPr>
          <w:lang w:val="en"/>
        </w:rPr>
        <w:t xml:space="preserve"> </w:t>
      </w:r>
      <w:r>
        <w:rPr>
          <w:rStyle w:val="Hps"/>
          <w:lang w:val="en"/>
        </w:rPr>
        <w:t>six</w:t>
      </w:r>
      <w:r>
        <w:rPr>
          <w:lang w:val="en"/>
        </w:rPr>
        <w:t xml:space="preserve"> </w:t>
      </w:r>
      <w:r>
        <w:rPr>
          <w:rStyle w:val="Hps"/>
          <w:lang w:val="en"/>
        </w:rPr>
        <w:t>white</w:t>
      </w:r>
      <w:r>
        <w:rPr>
          <w:lang w:val="en"/>
        </w:rPr>
        <w:t xml:space="preserve"> </w:t>
      </w:r>
      <w:r>
        <w:rPr>
          <w:rStyle w:val="Hps"/>
          <w:lang w:val="en"/>
        </w:rPr>
        <w:t>flower-shaped</w:t>
      </w:r>
      <w:r>
        <w:rPr>
          <w:lang w:val="en"/>
        </w:rPr>
        <w:t xml:space="preserve"> </w:t>
      </w:r>
      <w:r>
        <w:rPr>
          <w:rStyle w:val="Hps"/>
          <w:lang w:val="en"/>
        </w:rPr>
        <w:t>public opinion</w:t>
      </w:r>
      <w:r>
        <w:rPr>
          <w:lang w:val="en"/>
        </w:rPr>
        <w:t xml:space="preserve">. </w:t>
      </w:r>
      <w:r>
        <w:rPr>
          <w:rStyle w:val="Hps"/>
          <w:lang w:val="en"/>
        </w:rPr>
        <w:t>Mirror</w:t>
      </w:r>
      <w:r>
        <w:rPr>
          <w:lang w:val="en"/>
        </w:rPr>
        <w:t xml:space="preserve"> </w:t>
      </w:r>
      <w:r>
        <w:rPr>
          <w:rStyle w:val="Hps"/>
          <w:lang w:val="en"/>
        </w:rPr>
        <w:t>marry</w:t>
      </w:r>
      <w:r>
        <w:rPr>
          <w:lang w:val="en"/>
        </w:rPr>
        <w:t xml:space="preserve"> </w:t>
      </w:r>
      <w:r>
        <w:rPr>
          <w:rStyle w:val="Hps"/>
          <w:lang w:val="en"/>
        </w:rPr>
        <w:t>the case of</w:t>
      </w:r>
      <w:r>
        <w:rPr>
          <w:lang w:val="en"/>
        </w:rPr>
        <w:t xml:space="preserve"> </w:t>
      </w:r>
      <w:r>
        <w:rPr>
          <w:rStyle w:val="Hps"/>
          <w:lang w:val="en"/>
        </w:rPr>
        <w:t>of</w:t>
      </w:r>
      <w:r>
        <w:rPr>
          <w:lang w:val="en"/>
        </w:rPr>
        <w:t xml:space="preserve"> </w:t>
      </w:r>
      <w:r>
        <w:rPr>
          <w:rStyle w:val="Hps"/>
          <w:lang w:val="en"/>
        </w:rPr>
        <w:t>Xuxu</w:t>
      </w:r>
      <w:r>
        <w:rPr>
          <w:lang w:val="en"/>
        </w:rPr>
        <w:t xml:space="preserve"> </w:t>
      </w:r>
      <w:r>
        <w:rPr>
          <w:rStyle w:val="Hps"/>
          <w:lang w:val="en"/>
        </w:rPr>
        <w:t>Syria</w:t>
      </w:r>
      <w:r>
        <w:rPr>
          <w:lang w:val="en"/>
        </w:rPr>
        <w:t xml:space="preserve"> </w:t>
      </w:r>
      <w:r>
        <w:rPr>
          <w:rStyle w:val="Hps"/>
          <w:lang w:val="en"/>
        </w:rPr>
        <w:t>jade</w:t>
      </w:r>
      <w:r>
        <w:rPr>
          <w:lang w:val="en"/>
        </w:rPr>
        <w:t xml:space="preserve"> </w:t>
      </w:r>
      <w:r>
        <w:rPr>
          <w:rStyle w:val="Hps"/>
          <w:lang w:val="en"/>
        </w:rPr>
        <w:t>flaw</w:t>
      </w:r>
      <w:r>
        <w:rPr>
          <w:lang w:val="en"/>
        </w:rPr>
        <w:t xml:space="preserve">. </w:t>
      </w:r>
      <w:r>
        <w:rPr>
          <w:rStyle w:val="Hps"/>
          <w:lang w:val="en"/>
        </w:rPr>
        <w:t>This</w:t>
      </w:r>
      <w:r>
        <w:rPr>
          <w:lang w:val="en"/>
        </w:rPr>
        <w:t xml:space="preserve"> </w:t>
      </w:r>
      <w:r>
        <w:rPr>
          <w:rStyle w:val="Hps"/>
          <w:lang w:val="en"/>
        </w:rPr>
        <w:t>mirror</w:t>
      </w:r>
      <w:r>
        <w:rPr>
          <w:lang w:val="en"/>
        </w:rPr>
        <w:t xml:space="preserve"> </w:t>
      </w:r>
      <w:r>
        <w:rPr>
          <w:rStyle w:val="Hps"/>
          <w:lang w:val="en"/>
        </w:rPr>
        <w:t>work</w:t>
      </w:r>
      <w:r>
        <w:rPr>
          <w:lang w:val="en"/>
        </w:rPr>
        <w:t xml:space="preserve"> </w:t>
      </w:r>
      <w:r>
        <w:rPr>
          <w:rStyle w:val="Hps"/>
          <w:lang w:val="en"/>
        </w:rPr>
        <w:t>exposing</w:t>
      </w:r>
      <w:r>
        <w:rPr>
          <w:lang w:val="en"/>
        </w:rPr>
        <w:t xml:space="preserve"> </w:t>
      </w:r>
      <w:r>
        <w:rPr>
          <w:rStyle w:val="Hps"/>
          <w:lang w:val="en"/>
        </w:rPr>
        <w:t>special</w:t>
      </w:r>
      <w:r>
        <w:rPr>
          <w:lang w:val="en"/>
        </w:rPr>
        <w:t xml:space="preserve"> </w:t>
      </w:r>
      <w:r>
        <w:rPr>
          <w:rStyle w:val="Hpsatn"/>
          <w:lang w:val="en"/>
        </w:rPr>
        <w:t>'</w:t>
      </w:r>
      <w:r>
        <w:rPr>
          <w:lang w:val="en"/>
        </w:rPr>
        <w:t xml:space="preserve">colors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color</w:t>
      </w:r>
      <w:r>
        <w:rPr>
          <w:lang w:val="en"/>
        </w:rPr>
        <w:t xml:space="preserve"> </w:t>
      </w:r>
      <w:r>
        <w:rPr>
          <w:rStyle w:val="Hps"/>
          <w:lang w:val="en"/>
        </w:rPr>
        <w:t>target</w:t>
      </w:r>
      <w:r>
        <w:rPr>
          <w:lang w:val="en"/>
        </w:rPr>
        <w:t xml:space="preserve"> </w:t>
      </w:r>
      <w:r>
        <w:rPr>
          <w:rStyle w:val="Hps"/>
          <w:lang w:val="en"/>
        </w:rPr>
        <w:t>Cave</w:t>
      </w:r>
      <w:r>
        <w:rPr>
          <w:lang w:val="en"/>
        </w:rPr>
        <w:t xml:space="preserve">'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rather</w:t>
      </w:r>
      <w:r>
        <w:rPr>
          <w:lang w:val="en"/>
        </w:rPr>
        <w:t xml:space="preserve"> </w:t>
      </w:r>
      <w:r>
        <w:rPr>
          <w:rStyle w:val="Hps"/>
          <w:lang w:val="en"/>
        </w:rPr>
        <w:t>a precious</w:t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/>
      </w:pPr>
      <w:r>
        <w:rPr/>
        <w:t>Asia-China-Jade-Bronze-Warring States-450-221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 xml:space="preserve">Case No.: </w:t>
      </w:r>
    </w:p>
    <w:p>
      <w:pPr>
        <w:pStyle w:val="Normal"/>
        <w:rPr/>
      </w:pPr>
      <w:r>
        <w:rPr>
          <w:rStyle w:val="StrongEmphasis"/>
        </w:rPr>
        <w:t xml:space="preserve">Accession Number: 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Asia-China-Jade-Bronze-Warring States-450-221 BCE</w:t>
      </w:r>
    </w:p>
    <w:p>
      <w:pPr>
        <w:pStyle w:val="Normal"/>
        <w:rPr/>
      </w:pPr>
      <w:r>
        <w:rPr>
          <w:b/>
        </w:rPr>
        <w:t>Display Description:</w:t>
      </w:r>
    </w:p>
    <w:p>
      <w:pPr>
        <w:pStyle w:val="Normal"/>
        <w:rPr/>
      </w:pPr>
      <w:r>
        <w:rPr/>
        <w:t>This jade and swirled glass bronze mirror offers the most ancient conception of the cloud motif in a blown glass medium encased in jade which dates to the Warring States Period, 450-221 BCE. Fuluoyuanjin Village</w:t>
      </w:r>
      <w:r>
        <w:rPr/>
        <w:t>傅洛院金</w:t>
      </w:r>
      <w:r>
        <w:rPr>
          <w:rFonts w:eastAsia="Times New Roman"/>
        </w:rPr>
        <w:t xml:space="preserve"> </w:t>
      </w:r>
      <w:r>
        <w:rPr/>
        <w:t>村</w:t>
      </w:r>
      <w:r>
        <w:rPr>
          <w:rFonts w:eastAsia="Times New Roman"/>
        </w:rPr>
        <w:t xml:space="preserve">  </w:t>
      </w:r>
      <w:r>
        <w:rPr/>
        <w:t xml:space="preserve">where this mirror was found </w:t>
      </w:r>
      <w:r>
        <w:rPr/>
        <w:t>was in t</w:t>
      </w:r>
      <w:r>
        <w:rPr/>
        <w:t>h</w:t>
      </w:r>
      <w:r>
        <w:rPr/>
        <w:t xml:space="preserve">e orbit of </w:t>
      </w:r>
      <w:r>
        <w:rPr/>
        <w:t>the ancient non-Chinese Bronze Age culture of Sānxīngduī  (</w:t>
      </w:r>
      <w:r>
        <w:rPr>
          <w:rFonts w:ascii="Arial" w:hAnsi="Arial" w:cs="Arial"/>
          <w:color w:val="222222"/>
          <w:sz w:val="21"/>
          <w:szCs w:val="21"/>
          <w:shd w:fill="FFFFFF" w:val="clear"/>
        </w:rPr>
        <w:t>三星</w:t>
      </w:r>
      <w:r>
        <w:rPr>
          <w:rFonts w:ascii="Arial" w:hAnsi="Arial" w:cs="Arial" w:eastAsia="Arial"/>
          <w:color w:val="222222"/>
          <w:sz w:val="21"/>
          <w:szCs w:val="21"/>
          <w:shd w:fill="FFFFFF" w:val="clear"/>
        </w:rPr>
        <w:t xml:space="preserve"> </w:t>
      </w:r>
      <w:r>
        <w:rPr>
          <w:rFonts w:eastAsia="MS Gothic;ＭＳ ゴシック" w:cs="MS Gothic;ＭＳ ゴシック" w:ascii="MS Gothic;ＭＳ ゴシック" w:hAnsi="MS Gothic;ＭＳ ゴシック"/>
          <w:color w:val="222222"/>
          <w:sz w:val="21"/>
          <w:szCs w:val="21"/>
          <w:shd w:fill="FFFFFF" w:val="clear"/>
        </w:rPr>
        <w:t>=</w:t>
      </w:r>
      <w:r>
        <w:rPr>
          <w:rFonts w:eastAsia="MS Gothic;ＭＳ ゴシック" w:cs="MS Gothic;ＭＳ ゴシック" w:ascii="MS Gothic;ＭＳ ゴシック" w:hAnsi="MS Gothic;ＭＳ ゴシック"/>
          <w:color w:val="222222"/>
          <w:sz w:val="21"/>
          <w:szCs w:val="21"/>
          <w:shd w:fill="FFFFFF" w:val="clear"/>
        </w:rPr>
        <w:t xml:space="preserve"> “</w:t>
      </w:r>
      <w:r>
        <w:rPr/>
        <w:t>three stars mound”), known in Chinese as the Shu culture , a unique civilization in this region before the Qin conquest. (Liang et al. 2001:271). This  Bronze Age culture of Sānxīngduī  has been divided into two sub periods (1730-1400 BCE and 1400-1200 BCE.</w:t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DS 793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Warring States-450-221 BCE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</w:rPr>
        <w:t>Geographical Area:</w:t>
      </w:r>
      <w:r>
        <w:rPr>
          <w:rFonts w:cs="Times New Roman" w:ascii="Times New Roman" w:hAnsi="Times New Roman"/>
        </w:rPr>
        <w:t xml:space="preserve"> </w:t>
      </w:r>
      <w:r>
        <w:rPr>
          <w:rStyle w:val="Hps"/>
          <w:rFonts w:cs="Times New Roman" w:ascii="Times New Roman" w:hAnsi="Times New Roman"/>
          <w:lang w:val="en"/>
        </w:rPr>
        <w:t>Fuluoyuanjin Village</w:t>
      </w:r>
      <w:r>
        <w:rPr>
          <w:rFonts w:ascii="Times New Roman" w:hAnsi="Times New Roman" w:cs="Times New Roman"/>
          <w:sz w:val="20"/>
          <w:szCs w:val="20"/>
        </w:rPr>
        <w:t>傅洛院金</w:t>
      </w:r>
      <w:r>
        <w:rPr>
          <w:rFonts w:ascii="Times New Roman" w:hAnsi="Times New Roman" w:cs="Times New Roman" w:eastAsia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村</w:t>
      </w:r>
      <w:r>
        <w:rPr>
          <w:rFonts w:cs="Times New Roman" w:ascii="Times New Roman" w:hAnsi="Times New Roman"/>
          <w:sz w:val="20"/>
          <w:szCs w:val="20"/>
        </w:rPr>
        <w:t>, Chengdu Area, Sichuan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>
          <w:rStyle w:val="StrongEmphasis"/>
        </w:rPr>
        <w:t xml:space="preserve">Map: </w:t>
      </w:r>
    </w:p>
    <w:p>
      <w:pPr>
        <w:pStyle w:val="Normal"/>
        <w:rPr>
          <w:rStyle w:val="StrongEmphasis"/>
        </w:rPr>
      </w:pPr>
      <w:r>
        <w:rPr>
          <w:lang w:val="en-US" w:eastAsia="en-US"/>
        </w:rPr>
        <w:drawing>
          <wp:inline distT="0" distB="0" distL="0" distR="0">
            <wp:extent cx="4695825" cy="3019425"/>
            <wp:effectExtent l="0" t="0" r="0" b="0"/>
            <wp:docPr id="2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Plainlinks"/>
          <w:rFonts w:ascii="Arial" w:hAnsi="Arial" w:cs="Arial"/>
          <w:color w:val="0000FF"/>
          <w:sz w:val="19"/>
          <w:szCs w:val="19"/>
          <w:highlight w:val="white"/>
          <w:u w:val="single"/>
        </w:rPr>
      </w:pPr>
      <w:r>
        <w:rPr>
          <w:rStyle w:val="StrongEmphasis"/>
        </w:rPr>
        <w:t>GPS Coordinates:</w:t>
      </w:r>
      <w:r>
        <w:rPr/>
        <w:t xml:space="preserve"> Chengdu </w:t>
      </w:r>
      <w:r>
        <w:rPr>
          <w:rFonts w:cs="Arial" w:ascii="Arial" w:hAnsi="Arial"/>
          <w:color w:val="000000"/>
          <w:sz w:val="19"/>
          <w:szCs w:val="19"/>
          <w:shd w:fill="F8F9FA" w:val="clear"/>
        </w:rPr>
        <w:t>(</w:t>
      </w:r>
      <w:hyperlink r:id="rId4">
        <w:r>
          <w:rPr>
            <w:rStyle w:val="InternetLink"/>
            <w:rFonts w:cs="Arial" w:ascii="Arial" w:hAnsi="Arial"/>
            <w:color w:val="663366"/>
            <w:sz w:val="19"/>
            <w:szCs w:val="19"/>
            <w:shd w:fill="F8F9FA" w:val="clear"/>
          </w:rPr>
          <w:t>Tianfu Square</w:t>
        </w:r>
      </w:hyperlink>
      <w:r>
        <w:rPr>
          <w:rFonts w:cs="Arial" w:ascii="Arial" w:hAnsi="Arial"/>
          <w:color w:val="000000"/>
          <w:sz w:val="19"/>
          <w:szCs w:val="19"/>
          <w:shd w:fill="F8F9FA" w:val="clear"/>
        </w:rPr>
        <w:t>): </w:t>
      </w:r>
      <w:r>
        <w:rPr>
          <w:rFonts w:cs="Arial" w:ascii="Arial" w:hAnsi="Arial"/>
          <w:color w:val="000000"/>
          <w:sz w:val="19"/>
          <w:szCs w:val="19"/>
          <w:shd w:fill="F8F9FA" w:val="clear"/>
        </w:rPr>
        <w:drawing>
          <wp:inline distT="0" distB="0" distL="0" distR="0">
            <wp:extent cx="161290" cy="16129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6" t="-166" r="-166" b="-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>
        <w:r>
          <w:rPr>
            <w:rStyle w:val="Latitude"/>
            <w:rFonts w:cs="Arial" w:ascii="Arial" w:hAnsi="Arial"/>
            <w:color w:val="663366"/>
            <w:sz w:val="19"/>
            <w:szCs w:val="19"/>
            <w:shd w:fill="F8F9FA" w:val="clear"/>
          </w:rPr>
          <w:t>30°39′25″N</w:t>
        </w:r>
        <w:r>
          <w:rPr>
            <w:rStyle w:val="Longitude"/>
            <w:rFonts w:cs="Arial" w:ascii="Arial" w:hAnsi="Arial"/>
            <w:color w:val="663366"/>
            <w:sz w:val="19"/>
            <w:szCs w:val="19"/>
            <w:shd w:fill="F8F9FA" w:val="clear"/>
          </w:rPr>
          <w:t>104°03′58″E</w:t>
        </w:r>
      </w:hyperlink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</w:t>
      </w:r>
      <w:r>
        <w:rPr>
          <w:sz w:val="20"/>
          <w:szCs w:val="20"/>
        </w:rPr>
        <w:t>Bronze Jade-Mosaic</w:t>
      </w:r>
    </w:p>
    <w:p>
      <w:pPr>
        <w:pStyle w:val="Normal"/>
        <w:rPr/>
      </w:pPr>
      <w:r>
        <w:rPr>
          <w:b/>
        </w:rPr>
        <w:t>Dimensions</w:t>
      </w:r>
      <w:r>
        <w:rPr/>
        <w:t xml:space="preserve">: </w:t>
        <w:br/>
      </w:r>
      <w:r>
        <w:rPr>
          <w:b/>
        </w:rPr>
        <w:t xml:space="preserve">Weight: </w:t>
      </w:r>
    </w:p>
    <w:p>
      <w:pPr>
        <w:pStyle w:val="Normal"/>
        <w:rPr>
          <w:b/>
          <w:b/>
        </w:rPr>
      </w:pPr>
      <w:r>
        <w:rPr>
          <w:b/>
        </w:rPr>
        <w:t>Provenance</w:t>
      </w:r>
      <w:r>
        <w:rPr>
          <w:rStyle w:val="StrongEmphasis"/>
          <w:b w:val="false"/>
        </w:rPr>
        <w:t xml:space="preserve">: 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rStyle w:val="HTMLCite"/>
        </w:rPr>
        <w:t xml:space="preserve">Liang Deng; et al. (2001). </w:t>
      </w:r>
      <w:hyperlink r:id="rId7">
        <w:r>
          <w:rPr>
            <w:rStyle w:val="InternetLink"/>
            <w:i/>
            <w:iCs/>
          </w:rPr>
          <w:t>History of China</w:t>
        </w:r>
      </w:hyperlink>
      <w:r>
        <w:rPr>
          <w:rStyle w:val="HTMLCite"/>
        </w:rPr>
        <w:t xml:space="preserve">. </w:t>
      </w:r>
      <w:hyperlink r:id="rId8">
        <w:r>
          <w:rPr>
            <w:rStyle w:val="InternetLink"/>
            <w:i/>
            <w:iCs/>
          </w:rPr>
          <w:t>China Intercontinental Press</w:t>
        </w:r>
      </w:hyperlink>
      <w:r>
        <w:rPr>
          <w:rStyle w:val="HTMLCite"/>
        </w:rPr>
        <w:t>. p. 171.</w:t>
      </w:r>
    </w:p>
    <w:p>
      <w:pPr>
        <w:pStyle w:val="Normal"/>
        <w:rPr/>
      </w:pPr>
      <w:r>
        <w:rPr>
          <w:rStyle w:val="HTMLCite"/>
        </w:rPr>
        <w:t xml:space="preserve">Sage, Steven F. (1992). </w:t>
      </w:r>
      <w:hyperlink r:id="rId9">
        <w:r>
          <w:rPr>
            <w:rStyle w:val="InternetLink"/>
            <w:i/>
            <w:iCs/>
          </w:rPr>
          <w:t>Ancient Sichuan and the unification of China</w:t>
        </w:r>
      </w:hyperlink>
      <w:r>
        <w:rPr>
          <w:rStyle w:val="HTMLCite"/>
        </w:rPr>
        <w:t>. Albany: State University of New York Press. p. 16.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imSun">
    <w:altName w:val="ËÎÌå"/>
    <w:charset w:val="86"/>
    <w:family w:val="auto"/>
    <w:pitch w:val="variable"/>
  </w:font>
  <w:font w:name="MS Gothic">
    <w:altName w:val="ＭＳ ゴシック"/>
    <w:charset w:val="8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Plainlinks">
    <w:name w:val="plainlinks"/>
    <w:qFormat/>
    <w:rPr/>
  </w:style>
  <w:style w:type="character" w:styleId="Latitude">
    <w:name w:val="latitude"/>
    <w:qFormat/>
    <w:rPr/>
  </w:style>
  <w:style w:type="character" w:styleId="Longitude">
    <w:name w:val="longitude"/>
    <w:qFormat/>
    <w:rPr/>
  </w:style>
  <w:style w:type="character" w:styleId="Nowrap">
    <w:name w:val="nowrap"/>
    <w:qFormat/>
    <w:rPr/>
  </w:style>
  <w:style w:type="character" w:styleId="Smallcaps">
    <w:name w:val="smallcaps"/>
    <w:qFormat/>
    <w:rPr/>
  </w:style>
  <w:style w:type="character" w:styleId="VisitedInternetLink">
    <w:name w:val="Visited Internet Link"/>
    <w:rPr>
      <w:color w:val="954F72"/>
      <w:u w:val="single"/>
    </w:rPr>
  </w:style>
  <w:style w:type="character" w:styleId="HTMLCite">
    <w:name w:val="HTML Cite"/>
    <w:qFormat/>
    <w:rPr>
      <w:i/>
      <w:iCs/>
    </w:rPr>
  </w:style>
  <w:style w:type="character" w:styleId="Hpsatn">
    <w:name w:val="hps at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Style"/>
    <w:qFormat/>
    <w:pPr>
      <w:widowControl w:val="false"/>
      <w:autoSpaceDE w:val="false"/>
    </w:pPr>
    <w:rPr>
      <w:rFonts w:ascii="SimSun;ËÎÌå" w:hAnsi="SimSun;ËÎÌå" w:eastAsia="SimSun;ËÎÌå" w:cs="SimSun;ËÎÌå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zh.wikipedia.org/wiki/&#22825;&#24220;&#24191;&#22330;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tools.wmflabs.org/geohack/geohack.php?pagename=Chengdu&amp;params=30.657_N_104.066_E_type:adm2nd_region:CN-51_source:Gaode" TargetMode="External"/><Relationship Id="rId7" Type="http://schemas.openxmlformats.org/officeDocument/2006/relationships/hyperlink" Target="https://books.google.com/books?id=lFRVNTo77vEC" TargetMode="External"/><Relationship Id="rId8" Type="http://schemas.openxmlformats.org/officeDocument/2006/relationships/hyperlink" Target="https://zh.wikipedia.org/wiki/&#20116;&#27954;&#20256;&#25773;&#20986;&#29256;&#31038;" TargetMode="External"/><Relationship Id="rId9" Type="http://schemas.openxmlformats.org/officeDocument/2006/relationships/hyperlink" Target="http://trove.nla.gov.au/work/20359334?selectedversion=NBD8161066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2019-01-05T09:38:00Z</dcterms:created>
  <dc:creator>USER</dc:creator>
  <dc:description/>
  <cp:keywords/>
  <dc:language>en-US</dc:language>
  <cp:lastModifiedBy>Coffman</cp:lastModifiedBy>
  <dcterms:modified xsi:type="dcterms:W3CDTF">2019-01-05T11:37:00Z</dcterms:modified>
  <cp:revision>3</cp:revision>
  <dc:subject/>
  <dc:title>Asia-China-Mirror-Bronze-Jade Mosaic</dc:title>
</cp:coreProperties>
</file>