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
        </w:rPr>
      </w:pPr>
      <w:r>
        <w:rPr/>
        <w:t>A407-Asia-China-Liangzhu-Cong-four tier-Taotie-Early – Mid Liangzhu-3400-</w:t>
      </w:r>
      <w:r>
        <w:rPr>
          <w:rStyle w:val="St"/>
        </w:rPr>
        <w:t>2800 BCE</w:t>
      </w:r>
    </w:p>
    <w:p>
      <w:pPr>
        <w:pStyle w:val="Normal"/>
        <w:rPr/>
      </w:pPr>
      <w:r>
        <w:rPr>
          <w:rFonts w:eastAsia="Times New Roman"/>
        </w:rPr>
        <w:t xml:space="preserve"> </w:t>
      </w:r>
      <w:r>
        <w:rPr/>
        <w:t xml:space="preserve">SHAPE  \* MERGEFORMAT </w:t>
      </w:r>
      <w:r>
        <w:rPr>
          <w:lang w:val="en-US" w:eastAsia="en-US"/>
        </w:rPr>
        <w:drawing>
          <wp:inline distT="0" distB="0" distL="0" distR="0">
            <wp:extent cx="2342515" cy="6569075"/>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4" t="-13" r="-4" b="-13"/>
                    <a:stretch>
                      <a:fillRect/>
                    </a:stretch>
                  </pic:blipFill>
                  <pic:spPr bwMode="auto">
                    <a:xfrm>
                      <a:off x="0" y="0"/>
                      <a:ext cx="2342515" cy="6569075"/>
                    </a:xfrm>
                    <a:prstGeom prst="rect">
                      <a:avLst/>
                    </a:prstGeom>
                  </pic:spPr>
                </pic:pic>
              </a:graphicData>
            </a:graphic>
          </wp:inline>
        </w:drawing>
      </w:r>
      <w:r>
        <w:rPr>
          <w:lang w:val="en-US" w:eastAsia="en-US"/>
        </w:rPr>
        <w:drawing>
          <wp:inline distT="0" distB="0" distL="0" distR="0">
            <wp:extent cx="2324100" cy="6607810"/>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4" t="-14" r="-4" b="-14"/>
                    <a:stretch>
                      <a:fillRect/>
                    </a:stretch>
                  </pic:blipFill>
                  <pic:spPr bwMode="auto">
                    <a:xfrm>
                      <a:off x="0" y="0"/>
                      <a:ext cx="2324100" cy="6607810"/>
                    </a:xfrm>
                    <a:prstGeom prst="rect">
                      <a:avLst/>
                    </a:prstGeom>
                  </pic:spPr>
                </pic:pic>
              </a:graphicData>
            </a:graphic>
          </wp:inline>
        </w:drawing>
      </w:r>
    </w:p>
    <w:p>
      <w:pPr>
        <w:pStyle w:val="Normal"/>
        <w:rPr>
          <w:rStyle w:val="StrongEmphasis"/>
          <w:b w:val="false"/>
          <w:b w:val="false"/>
          <w:bCs w:val="false"/>
        </w:rPr>
      </w:pPr>
      <w:r>
        <w:rPr/>
        <w:t>Figs. 1-2.</w:t>
      </w:r>
      <w:r>
        <w:rPr>
          <w:rStyle w:val="StrongEmphasis"/>
        </w:rPr>
        <w:t xml:space="preserve"> </w:t>
      </w:r>
      <w:r>
        <w:rPr/>
        <w:t>China-Liangzhu-Cong-four tier-Taotie-Early – Mid Liangzhu-3400-</w:t>
      </w:r>
      <w:r>
        <w:rPr>
          <w:rStyle w:val="St"/>
        </w:rPr>
        <w:t>2800 BCE</w:t>
      </w:r>
    </w:p>
    <w:p>
      <w:pPr>
        <w:pStyle w:val="Normal"/>
        <w:rPr>
          <w:rStyle w:val="StrongEmphasis"/>
          <w:b w:val="false"/>
          <w:b w:val="false"/>
          <w:bCs w:val="false"/>
        </w:rPr>
      </w:pPr>
      <w:r>
        <w:rPr/>
      </w:r>
    </w:p>
    <w:p>
      <w:pPr>
        <w:pStyle w:val="Normal"/>
        <w:rPr/>
      </w:pPr>
      <w:r>
        <w:rPr>
          <w:rStyle w:val="StrongEmphasis"/>
        </w:rPr>
        <w:t>Case no.: 5</w:t>
      </w:r>
    </w:p>
    <w:p>
      <w:pPr>
        <w:pStyle w:val="Normal"/>
        <w:rPr/>
      </w:pPr>
      <w:r>
        <w:rPr>
          <w:rStyle w:val="StrongEmphasis"/>
        </w:rPr>
        <w:t>Accession Number: A407</w:t>
      </w:r>
    </w:p>
    <w:p>
      <w:pPr>
        <w:pStyle w:val="Normal"/>
        <w:rPr>
          <w:rStyle w:val="StrongEmphasis"/>
          <w:b w:val="false"/>
          <w:b w:val="false"/>
          <w:bCs w:val="false"/>
        </w:rPr>
      </w:pPr>
      <w:r>
        <w:rPr>
          <w:rStyle w:val="StrongEmphasis"/>
        </w:rPr>
        <w:t xml:space="preserve">Formal Label: </w:t>
      </w:r>
      <w:r>
        <w:rPr/>
        <w:t>China-Liangzhu-Cong-four tier-Taotie-Early – Mid Liangzhu-3400-</w:t>
      </w:r>
      <w:r>
        <w:rPr>
          <w:rStyle w:val="St"/>
        </w:rPr>
        <w:t>2800 BCE</w:t>
      </w:r>
    </w:p>
    <w:p>
      <w:pPr>
        <w:pStyle w:val="Normal"/>
        <w:rPr>
          <w:b/>
          <w:b/>
          <w:bCs/>
        </w:rPr>
      </w:pPr>
      <w:r>
        <w:rPr>
          <w:b/>
          <w:bCs/>
        </w:rPr>
        <w:t xml:space="preserve">Display Description: </w:t>
      </w:r>
    </w:p>
    <w:p>
      <w:pPr>
        <w:pStyle w:val="Normal"/>
        <w:rPr/>
      </w:pPr>
      <w:r>
        <w:rPr/>
        <w:t>White jade cong-shaped bead with four tiers of masks and with pink patches. A long tube with a square cross-section and a central perforation which has been drilled from both sides . There is a circular rim at each end. There are four tiers of two anthropomorphic masks and two animal masks, but one of the animal masks is turned at a right angle to the rest. The surface has a highly polished patina indicative of long use.</w:t>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9825" cy="2583815"/>
            <wp:effectExtent l="0" t="0" r="0" b="0"/>
            <wp:docPr id="3"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title=""/>
                    <pic:cNvPicPr>
                      <a:picLocks noChangeAspect="1" noChangeArrowheads="1"/>
                    </pic:cNvPicPr>
                  </pic:nvPicPr>
                  <pic:blipFill>
                    <a:blip r:embed="rId4"/>
                    <a:srcRect l="-13" t="-18" r="-13" b="-18"/>
                    <a:stretch>
                      <a:fillRect/>
                    </a:stretch>
                  </pic:blipFill>
                  <pic:spPr bwMode="auto">
                    <a:xfrm>
                      <a:off x="0" y="0"/>
                      <a:ext cx="3679825" cy="2583815"/>
                    </a:xfrm>
                    <a:prstGeom prst="rect">
                      <a:avLst/>
                    </a:prstGeom>
                  </pic:spPr>
                </pic:pic>
              </a:graphicData>
            </a:graphic>
          </wp:inline>
        </w:drawing>
      </w:r>
    </w:p>
    <w:p>
      <w:pPr>
        <w:pStyle w:val="Normal"/>
        <w:rPr>
          <w:b/>
          <w:b/>
        </w:rPr>
      </w:pPr>
      <w:r>
        <w:rPr>
          <w:lang w:val="en-US" w:eastAsia="en-US"/>
        </w:rPr>
        <w:t>Fig. 3. Locastion of Liangzhu site proper.Source: Google Earth</w:t>
      </w:r>
    </w:p>
    <w:p>
      <w:pPr>
        <w:pStyle w:val="Normal"/>
        <w:rPr>
          <w:b/>
          <w:b/>
        </w:rPr>
      </w:pPr>
      <w:r>
        <w:rPr>
          <w:b/>
        </w:rPr>
      </w:r>
    </w:p>
    <w:p>
      <w:pPr>
        <w:pStyle w:val="Normal"/>
        <w:rPr>
          <w:lang w:val="en-US" w:eastAsia="en-US"/>
        </w:rPr>
      </w:pPr>
      <w:r>
        <w:rPr>
          <w:lang w:val="en-US" w:eastAsia="en-US"/>
        </w:rPr>
        <w:drawing>
          <wp:inline distT="0" distB="0" distL="0" distR="0">
            <wp:extent cx="5715635" cy="4462780"/>
            <wp:effectExtent l="0" t="0" r="0" b="0"/>
            <wp:docPr id="4"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title=""/>
                    <pic:cNvPicPr>
                      <a:picLocks noChangeAspect="1" noChangeArrowheads="1"/>
                    </pic:cNvPicPr>
                  </pic:nvPicPr>
                  <pic:blipFill>
                    <a:blip r:embed="rId5"/>
                    <a:srcRect l="-6" t="-8" r="-6" b="-8"/>
                    <a:stretch>
                      <a:fillRect/>
                    </a:stretch>
                  </pic:blipFill>
                  <pic:spPr bwMode="auto">
                    <a:xfrm>
                      <a:off x="0" y="0"/>
                      <a:ext cx="5715635" cy="4462780"/>
                    </a:xfrm>
                    <a:prstGeom prst="rect">
                      <a:avLst/>
                    </a:prstGeom>
                  </pic:spPr>
                </pic:pic>
              </a:graphicData>
            </a:graphic>
          </wp:inline>
        </w:drawing>
      </w:r>
    </w:p>
    <w:p>
      <w:pPr>
        <w:pStyle w:val="Normal"/>
        <w:rPr>
          <w:lang w:val="en-US" w:eastAsia="en-US"/>
        </w:rPr>
      </w:pPr>
      <w:r>
        <w:rPr>
          <w:lang w:val="en-US" w:eastAsia="en-US"/>
        </w:rPr>
        <w:t xml:space="preserve">Fig. 4.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5. </w:t>
      </w:r>
      <w:r>
        <w:rPr/>
        <w:t>Detail of Liangzhu site proper. After Zhou Ying 2007.</w:t>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p>
    <w:p>
      <w:pPr>
        <w:pStyle w:val="Normal"/>
        <w:rPr>
          <w:b/>
          <w:b/>
          <w:bCs/>
        </w:rPr>
      </w:pPr>
      <w:r>
        <w:rPr>
          <w:b/>
          <w:bCs/>
        </w:rPr>
        <w:t>Discussion:</w:t>
      </w:r>
    </w:p>
    <w:p>
      <w:pPr>
        <w:pStyle w:val="Normal"/>
        <w:rPr/>
      </w:pPr>
      <w:r>
        <w:rPr>
          <w:b/>
          <w:bCs/>
        </w:rPr>
        <w:tab/>
      </w:r>
      <w:r>
        <w:rPr/>
        <w:t>A comparable example is from Yaoshan that was excavated in June, 1987 (Lu Wenbao 1998: no. 54, pp. 98).</w:t>
      </w:r>
    </w:p>
    <w:p>
      <w:pPr>
        <w:pStyle w:val="Normal"/>
        <w:ind w:firstLine="720"/>
        <w:rPr/>
      </w:pPr>
      <w:r>
        <w:rPr>
          <w:bCs/>
        </w:rPr>
        <w:t xml:space="preserve">Liangzhu </w:t>
      </w:r>
      <w:r>
        <w:rPr/>
        <w:t>(3400–2250 BCE) in Yuhang County, Zhejiang, became a highly stratified society in the latter Liangzhu Period ca 2800-2250 BCE when élites began to control a sphere of influence that extended north to Shanxi and south to Guangdong. Jade and other expensive wares (such as silk, lacquerware, and ivory) characterized the social symbolism of Liangzhu élites which they used in ritual performances and dances as well as in grave goods. In this period the previous rôle of the shaman was curtailed in its psychological component and elevated in its rational component as astronomer.</w:t>
      </w:r>
    </w:p>
    <w:p>
      <w:pPr>
        <w:pStyle w:val="Normal"/>
        <w:ind w:firstLine="720"/>
        <w:rPr/>
      </w:pPr>
      <w:r>
        <w:rPr>
          <w:rStyle w:val="Emphasis"/>
        </w:rPr>
        <w:t>DNA from Liangzhu</w:t>
      </w:r>
      <w:r>
        <w:rPr>
          <w:rStyle w:val="St"/>
        </w:rPr>
        <w:t xml:space="preserve"> culture sites around Taihu Lake the Yangtze River</w:t>
      </w:r>
      <w:r>
        <w:rPr/>
        <w:t xml:space="preserve"> exhibit high frequencies of Haplogroup O1 </w:t>
      </w:r>
      <w:r>
        <w:rPr>
          <w:rStyle w:val="St"/>
        </w:rPr>
        <w:t xml:space="preserve">which was absent in other archaeological sites that were sampled inland of the Liangzhu complex. </w:t>
      </w:r>
      <w:r>
        <w:rPr/>
        <w:t>Haplogroup O1</w:t>
      </w:r>
      <w:r>
        <w:rPr>
          <w:rStyle w:val="St"/>
        </w:rPr>
        <w:t xml:space="preserve"> </w:t>
      </w:r>
      <w:r>
        <w:rPr/>
        <w:t>is common to modern Austronesians and</w:t>
      </w:r>
      <w:r>
        <w:rPr>
          <w:rStyle w:val="St"/>
        </w:rPr>
        <w:t xml:space="preserve"> Taiwanese Aborigines/Taiwanese Austronesians (TAN) (</w:t>
      </w:r>
      <w:r>
        <w:rPr>
          <w:rStyle w:val="Emphasis"/>
        </w:rPr>
        <w:t>O1</w:t>
      </w:r>
      <w:r>
        <w:rPr>
          <w:rStyle w:val="St"/>
        </w:rPr>
        <w:t xml:space="preserve">) probably came from those Liangzhu Austronesians (LAN) who had been displaced from the mouth of the Yangtze River delta by an economic crash of the LAN ca 4500 BCE induced by a meteor that struck at the present location of Taihu Lake, a meteoric crater. Recent </w:t>
      </w:r>
      <w:r>
        <w:rPr/>
        <w:t>studies show that special micro-fractures in quartzite were formed during the unloading process after the compression at the peak of an impact event (Wang, Wan, Xu 2002).</w:t>
      </w:r>
      <w:r>
        <w:rPr>
          <w:rStyle w:val="St"/>
        </w:rPr>
        <w:t xml:space="preserve"> LAN culture sites that existed around Taihu Lake and the mouth of the Yangtze River succumbed by </w:t>
      </w:r>
      <w:r>
        <w:rPr/>
        <w:t xml:space="preserve">ca 4200 BP </w:t>
      </w:r>
      <w:r>
        <w:rPr>
          <w:rStyle w:val="St"/>
        </w:rPr>
        <w:t>LAN</w:t>
      </w:r>
      <w:r>
        <w:rPr/>
        <w:t xml:space="preserve"> to a series extreme floods from diversions of the Yangtze River that interrupted the cultural layers with intrusions of mud and sand. </w:t>
      </w:r>
      <w:r>
        <w:rPr>
          <w:rStyle w:val="St"/>
        </w:rPr>
        <w:t xml:space="preserve"> It took 800 years, from 4200 BCE until 3400 BCE, for the Liangzhu culture on the mainland to recover. At the end of this time-horizon, Taiwanese migrants began to sail east to the Buka Strait in the Solomon Islands which became a staging area for the populating of Polynesia ca 2500 BCE.</w:t>
      </w:r>
    </w:p>
    <w:p>
      <w:pPr>
        <w:pStyle w:val="Normal"/>
        <w:rPr>
          <w:b/>
          <w:b/>
          <w:bCs/>
        </w:rPr>
      </w:pPr>
      <w:r>
        <w:rPr>
          <w:b/>
          <w:bCs/>
        </w:rPr>
      </w:r>
    </w:p>
    <w:p>
      <w:pPr>
        <w:pStyle w:val="Normal"/>
        <w:rPr>
          <w:b/>
          <w:b/>
          <w:bCs/>
          <w:lang w:val="fr-FR"/>
        </w:rPr>
      </w:pPr>
      <w:r>
        <w:rPr>
          <w:b/>
          <w:bCs/>
          <w:lang w:val="fr-FR"/>
        </w:rPr>
        <w:t>References:</w:t>
      </w:r>
    </w:p>
    <w:p>
      <w:pPr>
        <w:pStyle w:val="Normal"/>
        <w:rPr/>
      </w:pPr>
      <w:r>
        <w:rPr>
          <w:lang w:val="fr-FR"/>
        </w:rPr>
        <w:t xml:space="preserve">Biot, Jean Baptiste. 1851. </w:t>
      </w:r>
      <w:r>
        <w:rPr>
          <w:i/>
          <w:lang w:val="fr-FR"/>
        </w:rPr>
        <w:t>Le Tcheou-li: ou, Rites des Tcheou</w:t>
      </w:r>
      <w:r>
        <w:rPr>
          <w:lang w:val="fr-FR"/>
        </w:rPr>
        <w:t>. Paris: Imprimerie nationale, 1851. 3v.</w:t>
      </w:r>
    </w:p>
    <w:p>
      <w:pPr>
        <w:pStyle w:val="Normal"/>
        <w:rPr>
          <w:smallCaps/>
          <w:lang w:val="fr-FR"/>
        </w:rPr>
      </w:pPr>
      <w:r>
        <w:rPr>
          <w:smallCaps/>
          <w:lang w:val="fr-FR"/>
        </w:rPr>
      </w:r>
    </w:p>
    <w:p>
      <w:pPr>
        <w:pStyle w:val="Normal"/>
        <w:rPr>
          <w:rFonts w:cs="Symbol"/>
        </w:rPr>
      </w:pPr>
      <w:r>
        <w:rPr>
          <w:lang w:val="fr-F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rPr>
      </w:pPr>
      <w:r>
        <w:rPr>
          <w:rFonts w:cs="Symbol"/>
          <w:smallCaps/>
        </w:rPr>
      </w:r>
    </w:p>
    <w:p>
      <w:pPr>
        <w:pStyle w:val="Normal"/>
        <w:rPr/>
      </w:pPr>
      <w:r>
        <w:rPr/>
        <w:t xml:space="preserve">Childs-Johnson, Elizabeth. 1988. </w:t>
      </w:r>
      <w:r>
        <w:rPr>
          <w:i/>
          <w:iCs/>
        </w:rPr>
        <w:t>Ritual and Power: Jades of Ancient China</w:t>
      </w:r>
      <w:r>
        <w:rPr/>
        <w:t>. New York: China House Gallery, China Institute in America.</w:t>
      </w:r>
    </w:p>
    <w:p>
      <w:pPr>
        <w:pStyle w:val="Normal"/>
        <w:rPr/>
      </w:pPr>
      <w:r>
        <w:rPr/>
      </w:r>
    </w:p>
    <w:p>
      <w:pPr>
        <w:pStyle w:val="Normal"/>
        <w:rPr/>
      </w:pPr>
      <w:r>
        <w:rPr/>
        <w:t xml:space="preserve">Childs-Johnson, Elizabeth. 2009. “The Art of working Jade and the rise of civilization in China.” In Elizabeth Childs-Johnson, </w:t>
      </w:r>
      <w:r>
        <w:rPr>
          <w:i/>
          <w:iCs/>
        </w:rPr>
        <w:t>Early Chinese jades in American Museums.</w:t>
      </w:r>
      <w:r>
        <w:rPr/>
        <w:t xml:space="preserve"> Beijing: The Science Press, China Science and Technology Publishing and Media Co., Ltd., 2009, pp. 291-393.</w:t>
      </w:r>
    </w:p>
    <w:p>
      <w:pPr>
        <w:pStyle w:val="Normal"/>
        <w:rPr/>
      </w:pPr>
      <w:r>
        <w:rPr/>
      </w:r>
    </w:p>
    <w:p>
      <w:pPr>
        <w:pStyle w:val="Normal"/>
        <w:rPr/>
      </w:pPr>
      <w:r>
        <w:rPr/>
        <w:t xml:space="preserve">Gu Fang. 2005. </w:t>
      </w:r>
      <w:r>
        <w:rPr>
          <w:i/>
          <w:iCs/>
        </w:rPr>
        <w:t>Complete collection of unearthed jades in China</w:t>
      </w:r>
      <w:r>
        <w:rPr/>
        <w:t xml:space="preserve">. 15 v. Beijing: China Science and Technology Publishing and Media Co., Ltd. </w:t>
      </w:r>
    </w:p>
    <w:p>
      <w:pPr>
        <w:pStyle w:val="Normal"/>
        <w:rPr>
          <w:smallCaps/>
        </w:rPr>
      </w:pPr>
      <w:r>
        <w:rPr>
          <w:smallCaps/>
        </w:rPr>
      </w:r>
    </w:p>
    <w:p>
      <w:pPr>
        <w:pStyle w:val="Normal"/>
        <w:rPr/>
      </w:pPr>
      <w:r>
        <w:rPr>
          <w:smallCaps/>
        </w:rPr>
        <w:t>H</w:t>
      </w:r>
      <w:r>
        <w:rPr/>
        <w:t xml:space="preserve">ayashi, Minao.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w:t>
      </w:r>
      <w:r>
        <w:rPr/>
        <w:drawing>
          <wp:inline distT="0" distB="0" distL="0" distR="0">
            <wp:extent cx="15875" cy="15875"/>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7"/>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w:t>
      </w:r>
      <w:r>
        <w:rPr>
          <w:i/>
        </w:rPr>
        <w:t>Chūgoku kogyoku no kenkyū</w:t>
      </w:r>
      <w:r>
        <w:rPr/>
        <w:t xml:space="preserve">.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w:t>
      </w:r>
      <w:r>
        <w:rPr/>
        <w:drawing>
          <wp:inline distT="0" distB="0" distL="0" distR="0">
            <wp:extent cx="15875" cy="15875"/>
            <wp:effectExtent l="0" t="0" r="0" b="0"/>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embed="rId8"/>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Yoshikawa Kōbunkan; </w:t>
      </w:r>
      <w:r>
        <w:rPr/>
        <w:t>東京</w:t>
      </w:r>
      <w:r>
        <w:rPr>
          <w:rFonts w:eastAsia="Times New Roman"/>
        </w:rPr>
        <w:t xml:space="preserve"> </w:t>
      </w:r>
      <w:r>
        <w:rPr/>
        <w:t>: </w:t>
      </w:r>
      <w:r>
        <w:rPr/>
        <w:t>吉川弘文館</w:t>
      </w:r>
      <w:r>
        <w:rPr/>
        <w:t>, 1991.</w:t>
      </w:r>
    </w:p>
    <w:p>
      <w:pPr>
        <w:pStyle w:val="Normal"/>
        <w:rPr>
          <w:smallCaps/>
        </w:rPr>
      </w:pPr>
      <w:r>
        <w:rPr>
          <w:smallCaps/>
        </w:rPr>
      </w:r>
    </w:p>
    <w:p>
      <w:pPr>
        <w:pStyle w:val="Normal"/>
        <w:rPr/>
      </w:pPr>
      <w:r>
        <w:rPr>
          <w:smallCaps/>
        </w:rPr>
        <w:t>H</w:t>
      </w:r>
      <w:r>
        <w:rPr/>
        <w:t>ayashi</w:t>
      </w:r>
      <w:r>
        <w:rPr>
          <w:smallCaps/>
        </w:rPr>
        <w:t>,</w:t>
      </w:r>
      <w:r>
        <w:rPr/>
        <w:t xml:space="preserve"> Mineo. 1990. “On the Chinese Neolithic jade Tsung/Cong,” </w:t>
      </w:r>
      <w:r>
        <w:rPr>
          <w:i/>
          <w:iCs/>
        </w:rPr>
        <w:t>Artibus Asiae</w:t>
      </w:r>
      <w:r>
        <w:rPr/>
        <w:t>, 50(1/2):5-22.</w:t>
      </w:r>
    </w:p>
    <w:p>
      <w:pPr>
        <w:pStyle w:val="Normal"/>
        <w:rPr>
          <w:smallCaps/>
        </w:rPr>
      </w:pPr>
      <w:r>
        <w:rPr>
          <w:smallCaps/>
        </w:rPr>
      </w:r>
    </w:p>
    <w:p>
      <w:pPr>
        <w:pStyle w:val="Normal"/>
        <w:rPr/>
      </w:pPr>
      <w:r>
        <w:rPr>
          <w:smallCaps/>
        </w:rPr>
        <w:t>H</w:t>
      </w:r>
      <w:r>
        <w:rPr/>
        <w:t>ayashi</w:t>
      </w:r>
      <w:r>
        <w:rPr>
          <w:smallCaps/>
        </w:rPr>
        <w:t>,</w:t>
      </w:r>
      <w:r>
        <w:rPr/>
        <w:t xml:space="preserve"> Mineo. 1973. </w:t>
      </w:r>
      <w:r>
        <w:rPr>
          <w:i/>
          <w:iCs/>
        </w:rPr>
        <w:t xml:space="preserve">Toyo Gakuho </w:t>
      </w:r>
      <w:r>
        <w:rPr/>
        <w:t>[Journal of the Research Dept. of the Toyo Bunko] 45:1-57.</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rStyle w:val="HTMLCite"/>
        </w:rPr>
      </w:pPr>
      <w:r>
        <w:rPr>
          <w:rStyle w:val="HTMLCite"/>
        </w:rPr>
        <w:t xml:space="preserve">Li, Hui; Huang, Ying; Mustavich, Laura F.; Zhang, Fan; Tan, Jing-Ze; Wang, ling-E; Qian, Ji; Gao, Meng-He; Jin, Li. 2007. "Y chromosomes of prehistoric people along the Yangtze River," Human Genetics </w:t>
      </w:r>
      <w:r>
        <w:rPr>
          <w:rStyle w:val="HTMLCite"/>
          <w:b/>
          <w:bCs/>
        </w:rPr>
        <w:t>122</w:t>
      </w:r>
      <w:r>
        <w:rPr>
          <w:rStyle w:val="HTMLCite"/>
        </w:rPr>
        <w:t>: 383–388.</w:t>
      </w:r>
    </w:p>
    <w:p>
      <w:pPr>
        <w:pStyle w:val="Normal"/>
        <w:rPr>
          <w:rStyle w:val="HTMLCite"/>
          <w:i w:val="false"/>
          <w:i w:val="false"/>
          <w:iCs w:val="false"/>
        </w:rPr>
      </w:pPr>
      <w:r>
        <w:rPr/>
        <w:t xml:space="preserve">Wang Erkang, Yuqiu Wan, Shijin Xu. 2002. “Discovery and implication of shock metamorphic unloading microfractures in Devonian bedrock of Taihu Lake,” </w:t>
      </w:r>
      <w:r>
        <w:rPr>
          <w:i/>
        </w:rPr>
        <w:t>Science in China Series D: Earth Sciences</w:t>
      </w:r>
      <w:r>
        <w:rPr/>
        <w:t>,</w:t>
      </w:r>
      <w:r>
        <w:rPr>
          <w:rStyle w:val="Articlecitationvolume"/>
        </w:rPr>
        <w:t xml:space="preserve"> 45 (5)</w:t>
      </w:r>
      <w:r>
        <w:rPr>
          <w:rStyle w:val="Articlecitationpages"/>
        </w:rPr>
        <w:t>: 459–467</w:t>
      </w:r>
      <w:r>
        <w:rPr>
          <w:rStyle w:val="Articlecitationvolume"/>
        </w:rPr>
        <w:t>.</w:t>
      </w:r>
    </w:p>
    <w:p>
      <w:pPr>
        <w:pStyle w:val="Normal"/>
        <w:rPr>
          <w:rStyle w:val="HTMLCite"/>
          <w:rFonts w:cs="Symbol"/>
          <w:i w:val="false"/>
          <w:i w:val="false"/>
          <w:iCs w:val="false"/>
        </w:rPr>
      </w:pPr>
      <w:r>
        <w:rPr/>
      </w:r>
    </w:p>
    <w:p>
      <w:pPr>
        <w:pStyle w:val="Normal"/>
        <w:rPr/>
      </w:pPr>
      <w:r>
        <w:rPr/>
        <w:t xml:space="preserve">Lu Wenbao. 1998. </w:t>
      </w:r>
      <w:r>
        <w:rPr>
          <w:i/>
        </w:rPr>
        <w:t xml:space="preserve">Cong-shaped bead. In Liangzhu Culture Museum, ed., The dawn of Chinese civilization: Jades of the Liangzhu culture. </w:t>
      </w:r>
      <w:r>
        <w:rPr/>
        <w:t>Hong Kong: Liangzhu Culture Museum and The Art Museum, The Chinese University of Hong Kong.</w:t>
      </w:r>
    </w:p>
    <w:p>
      <w:pPr>
        <w:pStyle w:val="Normal"/>
        <w:rPr/>
      </w:pPr>
      <w:r>
        <w:rPr/>
      </w:r>
    </w:p>
    <w:p>
      <w:pPr>
        <w:pStyle w:val="Normal"/>
        <w:rPr>
          <w:rStyle w:val="HTMLCite"/>
        </w:rPr>
      </w:pPr>
      <w:r>
        <w:rPr>
          <w:rStyle w:val="HTMLCite"/>
        </w:rPr>
        <w:t xml:space="preserve">Wu, Li. 2014. "Holocene environmental change and its impacts on human settlement in the Shanghai Area, East China,"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rPr>
        <w:t xml:space="preserve">Zhang, Chia; Hsiao-Chun, Hung. 2008. "The Neolithic of Southern China–Origin, Development, and Dispersal,"Asian Perspectives. </w:t>
      </w:r>
      <w:r>
        <w:rPr>
          <w:rStyle w:val="HTMLCite"/>
          <w:b/>
          <w:bCs/>
        </w:rPr>
        <w:t>47</w:t>
      </w:r>
      <w:r>
        <w:rPr>
          <w:rStyle w:val="HTMLCite"/>
        </w:rPr>
        <w:t>:2, 309–310.</w:t>
      </w:r>
    </w:p>
    <w:p>
      <w:pPr>
        <w:pStyle w:val="Normal"/>
        <w:rPr>
          <w:rFonts w:cs="Symbol"/>
          <w:i/>
          <w:i/>
        </w:rPr>
      </w:pPr>
      <w:r>
        <w:rPr>
          <w:rFonts w:cs="Symbol"/>
          <w:i/>
        </w:rPr>
      </w:r>
    </w:p>
    <w:tbl>
      <w:tblPr>
        <w:tblW w:w="3950" w:type="pct"/>
        <w:jc w:val="start"/>
        <w:tblInd w:w="-90" w:type="dxa"/>
        <w:tblBorders/>
        <w:tblCellMar>
          <w:top w:w="15" w:type="dxa"/>
          <w:start w:w="15" w:type="dxa"/>
          <w:bottom w:w="15" w:type="dxa"/>
          <w:end w:w="15" w:type="dxa"/>
        </w:tblCellMar>
      </w:tblPr>
      <w:tblGrid>
        <w:gridCol w:w="8759"/>
      </w:tblGrid>
      <w:tr>
        <w:trPr/>
        <w:tc>
          <w:tcPr>
            <w:tcW w:w="8759" w:type="dxa"/>
            <w:tcBorders/>
            <w:shd w:fill="auto" w:val="clear"/>
            <w:vAlign w:val="center"/>
          </w:tcPr>
          <w:p>
            <w:pPr>
              <w:pStyle w:val="Normal"/>
              <w:rPr/>
            </w:pPr>
            <w:r>
              <w:rPr/>
              <w:t xml:space="preserve">Zhou Ying. 2007. </w:t>
            </w:r>
            <w:r>
              <w:rPr>
                <w:rFonts w:ascii="PMingLiU;新細明體" w:hAnsi="PMingLiU;新細明體" w:cs="PMingLiU;新細明體" w:eastAsia="PMingLiU;新細明體"/>
                <w:bCs/>
                <w:color w:val="000000"/>
                <w:lang w:eastAsia="zh-CN"/>
              </w:rPr>
              <w:t>东方文明的曙光</w:t>
            </w:r>
            <w:r>
              <w:rPr>
                <w:bCs/>
                <w:color w:val="000000"/>
                <w:lang w:eastAsia="zh-CN"/>
              </w:rPr>
              <w:t xml:space="preserve">: </w:t>
            </w:r>
            <w:r>
              <w:rPr>
                <w:rFonts w:ascii="MS Mincho;ＭＳ 明朝" w:hAnsi="MS Mincho;ＭＳ 明朝" w:cs="MS Mincho;ＭＳ 明朝" w:eastAsia="MS Mincho;ＭＳ 明朝"/>
                <w:bCs/>
                <w:color w:val="000000"/>
                <w:lang w:eastAsia="zh-CN"/>
              </w:rPr>
              <w:t>良渚</w:t>
            </w:r>
            <w:r>
              <w:rPr>
                <w:rFonts w:ascii="PMingLiU;新細明體" w:hAnsi="PMingLiU;新細明體" w:cs="PMingLiU;新細明體" w:eastAsia="PMingLiU;新細明體"/>
                <w:bCs/>
                <w:color w:val="000000"/>
                <w:lang w:eastAsia="zh-CN"/>
              </w:rPr>
              <w:t>遗址与良渚文化</w:t>
            </w:r>
            <w:r>
              <w:rPr>
                <w:rFonts w:eastAsia="Times New Roman"/>
                <w:bCs/>
                <w:color w:val="000000"/>
                <w:lang w:eastAsia="zh-CN"/>
              </w:rPr>
              <w:t xml:space="preserve"> </w:t>
            </w:r>
            <w:r>
              <w:rPr>
                <w:bCs/>
                <w:color w:val="000000"/>
                <w:lang w:eastAsia="zh-CN"/>
              </w:rPr>
              <w:t xml:space="preserve">= </w:t>
            </w:r>
            <w:r>
              <w:rPr>
                <w:rStyle w:val="StrongEmphasis"/>
                <w:b w:val="false"/>
                <w:color w:val="000000"/>
              </w:rPr>
              <w:t>Dong fang wen ming de shu guang : Liang zhu yi zhi yu liang zhu wen hua</w:t>
            </w:r>
            <w:r>
              <w:rPr>
                <w:rStyle w:val="StrongEmphasis"/>
                <w:color w:val="000000"/>
              </w:rPr>
              <w:t xml:space="preserve"> = </w:t>
            </w:r>
            <w:r>
              <w:rPr>
                <w:i/>
              </w:rPr>
              <w:t>The Dawn of the Oriental Civilization: Liangzhu site and Liangzhu culture</w:t>
            </w:r>
            <w:r>
              <w:rPr/>
              <w:t>. Beijing: China Intercontinental Press.</w:t>
            </w:r>
          </w:p>
          <w:p>
            <w:pPr>
              <w:pStyle w:val="Normal"/>
              <w:rPr>
                <w:color w:val="000000"/>
                <w:lang w:eastAsia="zh-CN"/>
              </w:rPr>
            </w:pPr>
            <w:r>
              <w:rPr>
                <w:color w:val="000000"/>
                <w:lang w:eastAsia="zh-CN"/>
              </w:rPr>
            </w:r>
          </w:p>
          <w:p>
            <w:pPr>
              <w:pStyle w:val="Normal"/>
              <w:rPr>
                <w:lang w:eastAsia="en-US"/>
              </w:rPr>
            </w:pPr>
            <w:hyperlink r:id="rId9">
              <w:r>
                <w:rPr>
                  <w:color w:val="000000"/>
                  <w:lang w:eastAsia="zh-CN"/>
                </w:rPr>
              </w:r>
            </w:hyperlink>
          </w:p>
        </w:tc>
      </w:tr>
    </w:tbl>
    <w:p>
      <w:pPr>
        <w:pStyle w:val="Normal"/>
        <w:rPr>
          <w:b/>
          <w:b/>
        </w:rPr>
      </w:pPr>
      <w:r>
        <w:rPr>
          <w:b/>
        </w:rPr>
      </w:r>
    </w:p>
    <w:p>
      <w:pPr>
        <w:pStyle w:val="Normal"/>
        <w:rPr>
          <w:b/>
          <w:b/>
        </w:rPr>
      </w:pPr>
      <w:r>
        <w:rPr>
          <w:b/>
        </w:rPr>
      </w:r>
    </w:p>
    <w:p>
      <w:pPr>
        <w:pStyle w:val="Normal"/>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MingLiU">
    <w:altName w:val="新細明體"/>
    <w:charset w:val="88"/>
    <w:family w:val="roman"/>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
    <w:name w:val="st"/>
    <w:qFormat/>
    <w:rPr/>
  </w:style>
  <w:style w:type="character" w:styleId="StrongEmphasis">
    <w:name w:val="Strong Emphasis"/>
    <w:qFormat/>
    <w:rPr>
      <w:b/>
      <w:bCs/>
    </w:rPr>
  </w:style>
  <w:style w:type="character" w:styleId="Emphasis">
    <w:name w:val="Emphasis"/>
    <w:qFormat/>
    <w:rPr>
      <w:i/>
      <w:iCs/>
    </w:rPr>
  </w:style>
  <w:style w:type="character" w:styleId="HTMLCite">
    <w:name w:val="HTML Cite"/>
    <w:qFormat/>
    <w:rPr>
      <w:i/>
      <w:iCs/>
    </w:rPr>
  </w:style>
  <w:style w:type="character" w:styleId="Articlecitationvolume">
    <w:name w:val="articlecitation_volume"/>
    <w:qFormat/>
    <w:rPr/>
  </w:style>
  <w:style w:type="character" w:styleId="Articlecitationpages">
    <w:name w:val="articlecitation_page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www.worldcat.org/title/dong-fang-wen-ming-de-shu-guang-liang-zhu-yi-zhi-yu-liang-zhu-wen-hua-the-dawn-of-the-oriental-civilization/oclc/952257723&amp;referer=brief_results"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2018-02-23T10:44:00Z</dcterms:created>
  <dc:creator>USER</dc:creator>
  <dc:description/>
  <cp:keywords/>
  <dc:language>en-US</dc:language>
  <cp:lastModifiedBy>murcott</cp:lastModifiedBy>
  <dcterms:modified xsi:type="dcterms:W3CDTF">2018-02-23T10:46:00Z</dcterms:modified>
  <cp:revision>3</cp:revision>
  <dc:subject/>
  <dc:title>Asia-China-0Liangzhu-Cong shaped Bead-four tier</dc:title>
</cp:coreProperties>
</file>