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72"/>
          <w:szCs w:val="72"/>
          <w:u w:val="singl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602550</wp:posOffset>
                </wp:positionH>
                <wp:positionV relativeFrom="margin">
                  <wp:posOffset>9157350</wp:posOffset>
                </wp:positionV>
                <wp:extent cx="9484613" cy="4601446"/>
                <wp:effectExtent b="0" l="0" r="0" t="0"/>
                <wp:wrapSquare wrapText="bothSides" distB="0" distT="0" distL="114300" distR="114300"/>
                <wp:docPr id="203188449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9450" y="3706848"/>
                          <a:ext cx="5753100" cy="146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8"/>
                                <w:vertAlign w:val="baseline"/>
                              </w:rPr>
                              <w:t xml:space="preserve">Rédigé et réalisé par Rocker_Bell – Anass Tantane pour le Hedera Hackathon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7f7f7f"/>
                                <w:sz w:val="34"/>
                                <w:vertAlign w:val="baseline"/>
                              </w:rPr>
                              <w:t xml:space="preserve"> 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7f7f7f"/>
                                <w:sz w:val="34"/>
                                <w:vertAlign w:val="baseline"/>
                              </w:rPr>
                              <w:t xml:space="preserve">| 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467886"/>
                                <w:sz w:val="34"/>
                                <w:u w:val="single"/>
                                <w:vertAlign w:val="baseline"/>
                              </w:rPr>
                              <w:t xml:space="preserve">rockbell8@gmail.com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7f7f7f"/>
                                <w:sz w:val="34"/>
                                <w:vertAlign w:val="baseline"/>
                              </w:rPr>
                              <w:t xml:space="preserve"> | 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1"/>
                                <w:i w:val="0"/>
                                <w:smallCaps w:val="0"/>
                                <w:strike w:val="0"/>
                                <w:color w:val="1e293b"/>
                                <w:sz w:val="34"/>
                                <w:shd w:fill="f8fafc"/>
                                <w:vertAlign w:val="baseline"/>
                              </w:rPr>
                              <w:t xml:space="preserve">testdevusecase@proton.me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7f7f7f"/>
                                <w:sz w:val="4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467886"/>
                                <w:sz w:val="34"/>
                                <w:u w:val="single"/>
                                <w:vertAlign w:val="baseline"/>
                              </w:rPr>
                              <w:t xml:space="preserve">https://github.com/rocker-bell/MedicationLot-Prototype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7f7f7f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7f7f7f"/>
                                <w:sz w:val="34"/>
                                <w:vertAlign w:val="baseline"/>
                              </w:rPr>
                              <w:t xml:space="preserve">https://rocker-bell.github.io/MedicationLot-Prototype/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7f7f7f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914400" spcFirstLastPara="1" rIns="10972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602550</wp:posOffset>
                </wp:positionH>
                <wp:positionV relativeFrom="margin">
                  <wp:posOffset>9157350</wp:posOffset>
                </wp:positionV>
                <wp:extent cx="9484613" cy="4601446"/>
                <wp:effectExtent b="0" l="0" r="0" t="0"/>
                <wp:wrapSquare wrapText="bothSides" distB="0" distT="0" distL="114300" distR="114300"/>
                <wp:docPr id="203188449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4613" cy="46014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72"/>
          <w:szCs w:val="72"/>
          <w:u w:val="singl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2159888</wp:posOffset>
                </wp:positionH>
                <wp:positionV relativeFrom="page">
                  <wp:posOffset>9444038</wp:posOffset>
                </wp:positionV>
                <wp:extent cx="5762625" cy="494157"/>
                <wp:effectExtent b="0" l="0" r="0" t="0"/>
                <wp:wrapSquare wrapText="bothSides" distB="0" distT="0" distL="114300" distR="114300"/>
                <wp:docPr id="203188449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69450" y="3537684"/>
                          <a:ext cx="5753100" cy="484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a02b93"/>
                                <w:sz w:val="24"/>
                                <w:vertAlign w:val="baseline"/>
                              </w:rPr>
                              <w:t xml:space="preserve">ROCKER BELL</w:t>
                            </w:r>
                          </w:p>
                        </w:txbxContent>
                      </wps:txbx>
                      <wps:bodyPr anchorCtr="0" anchor="t" bIns="0" lIns="914400" spcFirstLastPara="1" rIns="10972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2159888</wp:posOffset>
                </wp:positionH>
                <wp:positionV relativeFrom="page">
                  <wp:posOffset>9444038</wp:posOffset>
                </wp:positionV>
                <wp:extent cx="5762625" cy="494157"/>
                <wp:effectExtent b="0" l="0" r="0" t="0"/>
                <wp:wrapSquare wrapText="bothSides" distB="0" distT="0" distL="114300" distR="114300"/>
                <wp:docPr id="203188449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4941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72"/>
          <w:szCs w:val="72"/>
          <w:u w:val="single"/>
        </w:rPr>
        <w:drawing>
          <wp:inline distB="0" distT="0" distL="0" distR="0">
            <wp:extent cx="1190625" cy="1190625"/>
            <wp:effectExtent b="0" l="0" r="0" t="0"/>
            <wp:docPr id="20318845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680085</wp:posOffset>
                </wp:positionV>
                <wp:extent cx="6858000" cy="7068185"/>
                <wp:effectExtent b="0" l="0" r="0" t="0"/>
                <wp:wrapNone/>
                <wp:docPr id="203188450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7000" y="245825"/>
                          <a:ext cx="6858000" cy="7068185"/>
                          <a:chOff x="1917000" y="245825"/>
                          <a:chExt cx="6858000" cy="7068325"/>
                        </a:xfrm>
                      </wpg:grpSpPr>
                      <wpg:grpSp>
                        <wpg:cNvGrpSpPr/>
                        <wpg:grpSpPr>
                          <a:xfrm>
                            <a:off x="1917000" y="245844"/>
                            <a:ext cx="6858000" cy="7068312"/>
                            <a:chOff x="0" y="0"/>
                            <a:chExt cx="5561330" cy="540448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561325" cy="5404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5557520" cy="5404485"/>
                            </a:xfrm>
                            <a:custGeom>
                              <a:rect b="b" l="l" r="r" t="t"/>
                              <a:pathLst>
                                <a:path extrusionOk="0" h="700" w="720">
                                  <a:moveTo>
                                    <a:pt x="0" y="0"/>
                                  </a:moveTo>
                                  <a:cubicBezTo>
                                    <a:pt x="0" y="644"/>
                                    <a:pt x="0" y="644"/>
                                    <a:pt x="0" y="644"/>
                                  </a:cubicBezTo>
                                  <a:cubicBezTo>
                                    <a:pt x="23" y="650"/>
                                    <a:pt x="62" y="658"/>
                                    <a:pt x="113" y="665"/>
                                  </a:cubicBezTo>
                                  <a:cubicBezTo>
                                    <a:pt x="250" y="685"/>
                                    <a:pt x="476" y="700"/>
                                    <a:pt x="720" y="644"/>
                                  </a:cubicBezTo>
                                  <a:cubicBezTo>
                                    <a:pt x="720" y="617"/>
                                    <a:pt x="720" y="617"/>
                                    <a:pt x="720" y="617"/>
                                  </a:cubicBezTo>
                                  <a:cubicBezTo>
                                    <a:pt x="720" y="0"/>
                                    <a:pt x="720" y="0"/>
                                    <a:pt x="72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485264"/>
                                </a:gs>
                                <a:gs pos="50000">
                                  <a:srgbClr val="27364D"/>
                                </a:gs>
                                <a:gs pos="100000">
                                  <a:srgbClr val="06203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77.9999923706054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ptos" w:cs="Aptos" w:eastAsia="Aptos" w:hAnsi="Apto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72"/>
                                    <w:vertAlign w:val="baseline"/>
                                  </w:rPr>
                                  <w:t xml:space="preserve">MedicationLot – PharmaExpert</w:t>
                                </w:r>
                              </w:p>
                            </w:txbxContent>
                          </wps:txbx>
                          <wps:bodyPr anchorCtr="0" anchor="b" bIns="1097275" lIns="914400" spcFirstLastPara="1" rIns="1097275" wrap="square" tIns="109727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876300" y="4769783"/>
                              <a:ext cx="4685030" cy="509905"/>
                            </a:xfrm>
                            <a:custGeom>
                              <a:rect b="b" l="l" r="r" t="t"/>
                              <a:pathLst>
                                <a:path extrusionOk="0" h="66" w="607">
                                  <a:moveTo>
                                    <a:pt x="607" y="0"/>
                                  </a:moveTo>
                                  <a:cubicBezTo>
                                    <a:pt x="450" y="44"/>
                                    <a:pt x="300" y="57"/>
                                    <a:pt x="176" y="57"/>
                                  </a:cubicBezTo>
                                  <a:cubicBezTo>
                                    <a:pt x="109" y="57"/>
                                    <a:pt x="49" y="53"/>
                                    <a:pt x="0" y="48"/>
                                  </a:cubicBezTo>
                                  <a:cubicBezTo>
                                    <a:pt x="66" y="58"/>
                                    <a:pt x="152" y="66"/>
                                    <a:pt x="251" y="66"/>
                                  </a:cubicBezTo>
                                  <a:cubicBezTo>
                                    <a:pt x="358" y="66"/>
                                    <a:pt x="480" y="56"/>
                                    <a:pt x="607" y="27"/>
                                  </a:cubicBezTo>
                                  <a:cubicBezTo>
                                    <a:pt x="607" y="0"/>
                                    <a:pt x="607" y="0"/>
                                    <a:pt x="607" y="0"/>
                                  </a:cubicBezTo>
                                </a:path>
                              </a:pathLst>
                            </a:custGeom>
                            <a:solidFill>
                              <a:schemeClr val="lt1">
                                <a:alpha val="2980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680085</wp:posOffset>
                </wp:positionV>
                <wp:extent cx="6858000" cy="7068185"/>
                <wp:effectExtent b="0" l="0" r="0" t="0"/>
                <wp:wrapNone/>
                <wp:docPr id="203188450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7068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342583</wp:posOffset>
                </wp:positionV>
                <wp:extent cx="603885" cy="997077"/>
                <wp:effectExtent b="0" l="0" r="0" t="0"/>
                <wp:wrapNone/>
                <wp:docPr id="203188449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2025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342583</wp:posOffset>
                </wp:positionV>
                <wp:extent cx="603885" cy="997077"/>
                <wp:effectExtent b="0" l="0" r="0" t="0"/>
                <wp:wrapNone/>
                <wp:docPr id="203188449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9970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Sommaire:</w:t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1.1 Présentation du projet –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PharmaExpert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1.2 Objectifs et motivations</w:t>
        <w:br w:type="textWrapping"/>
        <w:t xml:space="preserve"> 1.3 Utilisation de la technologie Hedera Blockchain</w:t>
        <w:br w:type="textWrapping"/>
      </w:r>
    </w:p>
    <w:p w:rsidR="00000000" w:rsidDel="00000000" w:rsidP="00000000" w:rsidRDefault="00000000" w:rsidRPr="00000000" w14:paraId="00000008">
      <w:pPr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Architecture du système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2.1 Vue d’ensemble des phases fonctionnelles</w:t>
        <w:br w:type="textWrapping"/>
        <w:t xml:space="preserve"> 2.2 Phase 1 – Authentification et gestion des crédits utilisateurs</w:t>
        <w:br w:type="textWrapping"/>
        <w:t xml:space="preserve"> 2.3 Phase 2 – Traçabilité des lots de médicaments</w:t>
        <w:br w:type="textWrapping"/>
        <w:t xml:space="preserve"> 2.4 Interaction entre les contrats intelligents</w:t>
        <w:br w:type="textWrapping"/>
      </w:r>
    </w:p>
    <w:p w:rsidR="00000000" w:rsidDel="00000000" w:rsidP="00000000" w:rsidRDefault="00000000" w:rsidRPr="00000000" w14:paraId="00000009">
      <w:pPr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 des contrats intelligents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3.1 Contrat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LotTracker</w:t>
      </w:r>
      <w:r w:rsidDel="00000000" w:rsidR="00000000" w:rsidRPr="00000000">
        <w:rPr>
          <w:sz w:val="32"/>
          <w:szCs w:val="32"/>
          <w:rtl w:val="0"/>
        </w:rPr>
        <w:t xml:space="preserve"> (MedicationLot)</w:t>
        <w:br w:type="textWrapping"/>
        <w:t xml:space="preserve"> 3.2 Contrat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UserAuth</w:t>
      </w:r>
      <w:r w:rsidDel="00000000" w:rsidR="00000000" w:rsidRPr="00000000">
        <w:rPr>
          <w:sz w:val="32"/>
          <w:szCs w:val="32"/>
          <w:rtl w:val="0"/>
        </w:rPr>
        <w:t xml:space="preserve"> (IBA – Identity &amp; Ban Administration)</w:t>
        <w:br w:type="textWrapping"/>
        <w:t xml:space="preserve"> 3.3 Contrat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CreditToken</w:t>
      </w:r>
      <w:r w:rsidDel="00000000" w:rsidR="00000000" w:rsidRPr="00000000">
        <w:rPr>
          <w:sz w:val="32"/>
          <w:szCs w:val="32"/>
          <w:rtl w:val="0"/>
        </w:rPr>
        <w:t xml:space="preserve"> (ERC20)</w:t>
        <w:br w:type="textWrapping"/>
      </w:r>
    </w:p>
    <w:p w:rsidR="00000000" w:rsidDel="00000000" w:rsidP="00000000" w:rsidRDefault="00000000" w:rsidRPr="00000000" w14:paraId="0000000A">
      <w:pPr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Déploiement sur le réseau Hedera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4.1 Détails du réseau</w:t>
        <w:br w:type="textWrapping"/>
        <w:t xml:space="preserve"> 4.2 Adresses et propriétaire des contrats</w:t>
        <w:br w:type="textWrapping"/>
        <w:t xml:space="preserve"> 4.3 Intégration du token et compatibilité EVM</w:t>
        <w:br w:type="textWrapping"/>
      </w:r>
    </w:p>
    <w:p w:rsidR="00000000" w:rsidDel="00000000" w:rsidP="00000000" w:rsidRDefault="00000000" w:rsidRPr="00000000" w14:paraId="0000000B">
      <w:pPr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Logique fonctionnelle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5.1 Système de qualification et de frais (LotTracker)</w:t>
        <w:br w:type="textWrapping"/>
        <w:t xml:space="preserve"> 5.2 Système de crédits utilisateurs (UserAuth ↔ CreditToken)</w:t>
        <w:br w:type="textWrapping"/>
        <w:t xml:space="preserve"> 5.3 Sécurité et contrôle d’accès</w:t>
        <w:br w:type="textWrapping"/>
      </w:r>
    </w:p>
    <w:p w:rsidR="00000000" w:rsidDel="00000000" w:rsidP="00000000" w:rsidRDefault="00000000" w:rsidRPr="00000000" w14:paraId="0000000C">
      <w:pPr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Gestion des événements et traçabilité des données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6.1 Journaux d’événements et transparence blockchain</w:t>
        <w:br w:type="textWrapping"/>
        <w:t xml:space="preserve"> 6.2 Transfert de lots et historique des propriétaires</w:t>
        <w:br w:type="textWrapping"/>
        <w:t xml:space="preserve"> 6.3 Auditabilité et intégrité</w:t>
        <w:br w:type="textWrapping"/>
      </w:r>
    </w:p>
    <w:p w:rsidR="00000000" w:rsidDel="00000000" w:rsidP="00000000" w:rsidRDefault="00000000" w:rsidRPr="00000000" w14:paraId="0000000D">
      <w:pPr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Résumé et conclusion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7.1 Avantages du système</w:t>
        <w:br w:type="textWrapping"/>
        <w:t xml:space="preserve"> 7.2 Limites et perspectives d’amélioration</w:t>
        <w:br w:type="textWrapping"/>
        <w:t xml:space="preserve"> 7.3 Remarques finales</w:t>
        <w:br w:type="textWrapping"/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Description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Objectif du projet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 projet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PharmaExpert</w:t>
      </w:r>
      <w:r w:rsidDel="00000000" w:rsidR="00000000" w:rsidRPr="00000000">
        <w:rPr>
          <w:sz w:val="40"/>
          <w:szCs w:val="40"/>
          <w:rtl w:val="0"/>
        </w:rPr>
        <w:t xml:space="preserve"> a pour objectif d’assurer une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traçabilité complète, fiable et infalsifiable</w:t>
      </w:r>
      <w:r w:rsidDel="00000000" w:rsidR="00000000" w:rsidRPr="00000000">
        <w:rPr>
          <w:sz w:val="40"/>
          <w:szCs w:val="40"/>
          <w:rtl w:val="0"/>
        </w:rPr>
        <w:t xml:space="preserve"> des médicaments, depuis leur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fabrication</w:t>
      </w:r>
      <w:r w:rsidDel="00000000" w:rsidR="00000000" w:rsidRPr="00000000">
        <w:rPr>
          <w:sz w:val="40"/>
          <w:szCs w:val="40"/>
          <w:rtl w:val="0"/>
        </w:rPr>
        <w:t xml:space="preserve"> jusqu’à leur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délivrance au patient final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Son but principal est de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lutter contre la contrefaçon</w:t>
      </w:r>
      <w:r w:rsidDel="00000000" w:rsidR="00000000" w:rsidRPr="00000000">
        <w:rPr>
          <w:sz w:val="40"/>
          <w:szCs w:val="40"/>
          <w:rtl w:val="0"/>
        </w:rPr>
        <w:t xml:space="preserve"> et les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anomalies logistiques</w:t>
      </w:r>
      <w:r w:rsidDel="00000000" w:rsidR="00000000" w:rsidRPr="00000000">
        <w:rPr>
          <w:sz w:val="40"/>
          <w:szCs w:val="40"/>
          <w:rtl w:val="0"/>
        </w:rPr>
        <w:t xml:space="preserve"> en garantissant la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transparence</w:t>
      </w:r>
      <w:r w:rsidDel="00000000" w:rsidR="00000000" w:rsidRPr="00000000">
        <w:rPr>
          <w:sz w:val="40"/>
          <w:szCs w:val="40"/>
          <w:rtl w:val="0"/>
        </w:rPr>
        <w:t xml:space="preserve">, la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sécurité</w:t>
      </w:r>
      <w:r w:rsidDel="00000000" w:rsidR="00000000" w:rsidRPr="00000000">
        <w:rPr>
          <w:sz w:val="40"/>
          <w:szCs w:val="40"/>
          <w:rtl w:val="0"/>
        </w:rPr>
        <w:t xml:space="preserve"> et l’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intégrité des données</w:t>
      </w:r>
      <w:r w:rsidDel="00000000" w:rsidR="00000000" w:rsidRPr="00000000">
        <w:rPr>
          <w:sz w:val="40"/>
          <w:szCs w:val="40"/>
          <w:rtl w:val="0"/>
        </w:rPr>
        <w:t xml:space="preserve"> tout au long de la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chaîne d’approvisionnement pharmaceutique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Architecture fonctionnelle sur Hedera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 projet s’appuie sur la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technologie blockchain Hedera Hashgraph</w:t>
      </w:r>
      <w:r w:rsidDel="00000000" w:rsidR="00000000" w:rsidRPr="00000000">
        <w:rPr>
          <w:sz w:val="40"/>
          <w:szCs w:val="40"/>
          <w:rtl w:val="0"/>
        </w:rPr>
        <w:t xml:space="preserve">, qui offre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rapidité</w:t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frais de transaction minimes</w:t>
      </w:r>
      <w:r w:rsidDel="00000000" w:rsidR="00000000" w:rsidRPr="00000000">
        <w:rPr>
          <w:sz w:val="40"/>
          <w:szCs w:val="40"/>
          <w:rtl w:val="0"/>
        </w:rPr>
        <w:t xml:space="preserve"> et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haut niveau de sécurité</w:t>
      </w:r>
      <w:r w:rsidDel="00000000" w:rsidR="00000000" w:rsidRPr="00000000">
        <w:rPr>
          <w:sz w:val="40"/>
          <w:szCs w:val="40"/>
          <w:rtl w:val="0"/>
        </w:rPr>
        <w:t xml:space="preserve">.</w:t>
        <w:br w:type="textWrapping"/>
        <w:t xml:space="preserve">L’application se divise en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deux phases principales</w:t>
      </w:r>
      <w:r w:rsidDel="00000000" w:rsidR="00000000" w:rsidRPr="00000000">
        <w:rPr>
          <w:sz w:val="40"/>
          <w:szCs w:val="40"/>
          <w:rtl w:val="0"/>
        </w:rPr>
        <w:t xml:space="preserve">, chacune gérée par un contrat intelligent distinct 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Phase d’authentification et de gestion des utilisateurs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→ Implémentée à l’aide des contrats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UserAuth</w:t>
      </w:r>
      <w:r w:rsidDel="00000000" w:rsidR="00000000" w:rsidRPr="00000000">
        <w:rPr>
          <w:sz w:val="40"/>
          <w:szCs w:val="40"/>
          <w:rtl w:val="0"/>
        </w:rPr>
        <w:t xml:space="preserve"> et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CreditToken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Ces contrats assurent 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L’inscription et l’identification des utilisateurs (pharmaciens, laboratoires, autorités, etc.)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 gestion des accès et des autorisations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L’attribution et le suivi de crédits numériques sur le réseau Hedera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Phase de traçabilité des lots de médicaments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→ Implémentée par le contrat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LotTracker (MedicationLot)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Ce contrat permet 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D’enregistrer chaque lot de médicament avec ses métadonnées (numéro de série, date, fabricant, etc.)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 suivre son parcours tout au long de la chaîne logistique (fabricant → distributeur → pharmacie → patient)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 garantir l’authenticité et l’intégrité des informations stockées sur la blockchain</w:t>
      </w:r>
    </w:p>
    <w:p w:rsidR="00000000" w:rsidDel="00000000" w:rsidP="00000000" w:rsidRDefault="00000000" w:rsidRPr="00000000" w14:paraId="0000001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En résumé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PharmaExpert</w:t>
      </w:r>
      <w:r w:rsidDel="00000000" w:rsidR="00000000" w:rsidRPr="00000000">
        <w:rPr>
          <w:sz w:val="40"/>
          <w:szCs w:val="40"/>
          <w:rtl w:val="0"/>
        </w:rPr>
        <w:t xml:space="preserve"> combine les avantages de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Hedera Blockchain</w:t>
      </w:r>
      <w:r w:rsidDel="00000000" w:rsidR="00000000" w:rsidRPr="00000000">
        <w:rPr>
          <w:sz w:val="40"/>
          <w:szCs w:val="40"/>
          <w:rtl w:val="0"/>
        </w:rPr>
        <w:t xml:space="preserve"> avec une architecture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sécurisée et modulaire</w:t>
      </w:r>
      <w:r w:rsidDel="00000000" w:rsidR="00000000" w:rsidRPr="00000000">
        <w:rPr>
          <w:sz w:val="40"/>
          <w:szCs w:val="40"/>
          <w:rtl w:val="0"/>
        </w:rPr>
        <w:t xml:space="preserve">, où 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Les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contrats UserAuth et CreditToken</w:t>
      </w:r>
      <w:r w:rsidDel="00000000" w:rsidR="00000000" w:rsidRPr="00000000">
        <w:rPr>
          <w:sz w:val="40"/>
          <w:szCs w:val="40"/>
          <w:rtl w:val="0"/>
        </w:rPr>
        <w:t xml:space="preserve"> assurent la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fiabilité de l’identité numérique et de la gestion des droits</w:t>
      </w:r>
      <w:r w:rsidDel="00000000" w:rsidR="00000000" w:rsidRPr="00000000">
        <w:rPr>
          <w:sz w:val="40"/>
          <w:szCs w:val="4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contrat LotTracker (MedicationLot)</w:t>
      </w:r>
      <w:r w:rsidDel="00000000" w:rsidR="00000000" w:rsidRPr="00000000">
        <w:rPr>
          <w:sz w:val="40"/>
          <w:szCs w:val="40"/>
          <w:rtl w:val="0"/>
        </w:rPr>
        <w:t xml:space="preserve"> garantit la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traçabilité immuable</w:t>
      </w:r>
      <w:r w:rsidDel="00000000" w:rsidR="00000000" w:rsidRPr="00000000">
        <w:rPr>
          <w:sz w:val="40"/>
          <w:szCs w:val="40"/>
          <w:rtl w:val="0"/>
        </w:rPr>
        <w:t xml:space="preserve"> des produits pharmaceutiques.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L’ensemble forme une solution complète de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confiance numérique</w:t>
      </w:r>
      <w:r w:rsidDel="00000000" w:rsidR="00000000" w:rsidRPr="00000000">
        <w:rPr>
          <w:sz w:val="40"/>
          <w:szCs w:val="40"/>
          <w:rtl w:val="0"/>
        </w:rPr>
        <w:t xml:space="preserve"> pour le secteur de la santé et de la distribution des médicaments.</w:t>
      </w:r>
    </w:p>
    <w:p w:rsidR="00000000" w:rsidDel="00000000" w:rsidP="00000000" w:rsidRDefault="00000000" w:rsidRPr="00000000" w14:paraId="0000002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Voici la description complète des fonctionnalités du contrat LotTracker  - UserAuth - CreditToken: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LotTracker contract description 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 contrat </w:t>
      </w:r>
      <w:r w:rsidDel="00000000" w:rsidR="00000000" w:rsidRPr="00000000">
        <w:rPr>
          <w:b w:val="1"/>
          <w:bCs w:val="1"/>
          <w:rtl w:val="0"/>
        </w:rPr>
        <w:t xml:space="preserve">LotTracker</w:t>
      </w:r>
      <w:r w:rsidDel="00000000" w:rsidR="00000000" w:rsidRPr="00000000">
        <w:rPr>
          <w:rtl w:val="0"/>
        </w:rPr>
        <w:t xml:space="preserve"> est un suivi de chaîne d'approvisionnement basé sur des NFT (ERC-721).</w:t>
        <w:br w:type="textWrapping"/>
        <w:t xml:space="preserve">Voici les principales caractéristiques et fonctionnalités 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Fonction principale</w:t>
      </w:r>
      <w:r w:rsidDel="00000000" w:rsidR="00000000" w:rsidRPr="00000000">
        <w:rPr>
          <w:rtl w:val="0"/>
        </w:rPr>
        <w:t xml:space="preserve"> : Il crée (minte) un NFT unique (token ERC-721) pour chaque "lot de médicament" ajouté au système.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Propriétaire &amp; Transfert</w:t>
      </w:r>
      <w:r w:rsidDel="00000000" w:rsidR="00000000" w:rsidRPr="00000000">
        <w:rPr>
          <w:rtl w:val="0"/>
        </w:rPr>
        <w:t xml:space="preserve"> : Le propriétaire du NFT (ex : fabricant, distributeur, pharmacie) est le propriétaire actuel du lot. Le transfert du NFT via la fonction push représente un transfert de la garde dans la chaîne d'approvisionnement.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Stockage des données</w:t>
      </w:r>
      <w:r w:rsidDel="00000000" w:rsidR="00000000" w:rsidRPr="00000000">
        <w:rPr>
          <w:rtl w:val="0"/>
        </w:rPr>
        <w:t xml:space="preserve"> : Toutes les données critiques (nom, fabricant, emplacement, statut) sont stockées directement sur la blockchain et liées à ce NFT unique.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Modèle économique</w:t>
      </w:r>
      <w:r w:rsidDel="00000000" w:rsidR="00000000" w:rsidRPr="00000000">
        <w:rPr>
          <w:rtl w:val="0"/>
        </w:rPr>
        <w:t xml:space="preserve"> : Les utilisateurs (mais pas le propriétaire du contrat) doivent payer des frais en </w:t>
      </w:r>
      <w:r w:rsidDel="00000000" w:rsidR="00000000" w:rsidRPr="00000000">
        <w:rPr>
          <w:b w:val="1"/>
          <w:bCs w:val="1"/>
          <w:rtl w:val="0"/>
        </w:rPr>
        <w:t xml:space="preserve">CreditToken</w:t>
      </w:r>
      <w:r w:rsidDel="00000000" w:rsidR="00000000" w:rsidRPr="00000000">
        <w:rPr>
          <w:rtl w:val="0"/>
        </w:rPr>
        <w:t xml:space="preserve"> (ERC-20) pour effectuer des actions.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🌐</w:t>
      </w:r>
      <w:r w:rsidDel="00000000" w:rsidR="00000000" w:rsidRPr="00000000">
        <w:rPr>
          <w:b w:val="1"/>
          <w:bCs w:val="1"/>
          <w:rtl w:val="0"/>
        </w:rPr>
        <w:t xml:space="preserve"> Informations réseau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: Hedera Hashgraph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 utilisé</w:t>
      </w:r>
      <w:r w:rsidDel="00000000" w:rsidR="00000000" w:rsidRPr="00000000">
        <w:rPr>
          <w:rtl w:val="0"/>
        </w:rPr>
        <w:t xml:space="preserve"> : Hedera Smart Contract Service (HSCS)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 contract </w:t>
      </w:r>
      <w:r w:rsidDel="00000000" w:rsidR="00000000" w:rsidRPr="00000000">
        <w:rPr>
          <w:rtl w:val="0"/>
        </w:rPr>
        <w:t xml:space="preserve">: ERC 721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Compatibilité</w:t>
      </w:r>
      <w:r w:rsidDel="00000000" w:rsidR="00000000" w:rsidRPr="00000000">
        <w:rPr>
          <w:rtl w:val="0"/>
        </w:rPr>
        <w:t xml:space="preserve"> : EVM complète (supporte les contrats Solidity)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Déployeur / Owner</w:t>
      </w:r>
      <w:r w:rsidDel="00000000" w:rsidR="00000000" w:rsidRPr="00000000">
        <w:rPr>
          <w:rtl w:val="0"/>
        </w:rPr>
        <w:t xml:space="preserve"> : 0x08a5b2500742b452f8e4ce60a3afaa96dcdd7a1b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Token associé</w:t>
      </w:r>
      <w:r w:rsidDel="00000000" w:rsidR="00000000" w:rsidRPr="00000000">
        <w:rPr>
          <w:rtl w:val="0"/>
        </w:rPr>
        <w:t xml:space="preserve"> : CreditToken (contrat ERC20 également déployé sur Hedera)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Adresse </w:t>
      </w:r>
      <w:r w:rsidDel="00000000" w:rsidR="00000000" w:rsidRPr="00000000">
        <w:rPr>
          <w:rtl w:val="0"/>
        </w:rPr>
        <w:t xml:space="preserve"> : 0xdB04e79caEa24AF20b4ad1AaAb0Ed2e67DCb9449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Système de Frais et Qualification à Deux Niveaux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C'est la logique métier la plus complexe et importante du contrat, destinée à garantir que les utilisateurs aient une participation minimale avant de pouvoir interagir avec le contrat et à leur faire payer une petite commission par transaction.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 CreditToken (ERC-20)</w:t>
      </w:r>
      <w:r w:rsidDel="00000000" w:rsidR="00000000" w:rsidRPr="00000000">
        <w:rPr>
          <w:rtl w:val="0"/>
        </w:rPr>
        <w:br w:type="textWrapping"/>
        <w:t xml:space="preserve">Le contrat est lié à un token ERC-20 externe (le </w:t>
      </w:r>
      <w:r w:rsidDel="00000000" w:rsidR="00000000" w:rsidRPr="00000000">
        <w:rPr>
          <w:b w:val="1"/>
          <w:bCs w:val="1"/>
          <w:rtl w:val="0"/>
        </w:rPr>
        <w:t xml:space="preserve">CreditToken</w:t>
      </w:r>
      <w:r w:rsidDel="00000000" w:rsidR="00000000" w:rsidRPr="00000000">
        <w:rPr>
          <w:rtl w:val="0"/>
        </w:rPr>
        <w:t xml:space="preserve">). Tous les frais sont payés en </w:t>
      </w:r>
      <w:r w:rsidDel="00000000" w:rsidR="00000000" w:rsidRPr="00000000">
        <w:rPr>
          <w:b w:val="1"/>
          <w:bCs w:val="1"/>
          <w:rtl w:val="0"/>
        </w:rPr>
        <w:t xml:space="preserve">CreditToken</w:t>
      </w:r>
      <w:r w:rsidDel="00000000" w:rsidR="00000000" w:rsidRPr="00000000">
        <w:rPr>
          <w:rtl w:val="0"/>
        </w:rPr>
        <w:t xml:space="preserve">, et non en HBAR ou ETH. Cela signifie que toutes les fonctions d'écriture (comme insert) ne sont pas payables en HBAR/ETH.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 Modificateur hasCredit (Qualification Initiale)</w:t>
      </w:r>
      <w:r w:rsidDel="00000000" w:rsidR="00000000" w:rsidRPr="00000000">
        <w:rPr>
          <w:rtl w:val="0"/>
        </w:rPr>
        <w:br w:type="textWrapping"/>
        <w:t xml:space="preserve">Ce modificateur est le "gardien" de toutes les fonctions principales. Il applique une vérification de "participation" une seule fois 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Première Transaction</w:t>
      </w:r>
      <w:r w:rsidDel="00000000" w:rsidR="00000000" w:rsidRPr="00000000">
        <w:rPr>
          <w:rtl w:val="0"/>
        </w:rPr>
        <w:t xml:space="preserve"> : Lorsqu'un utilisateur (qui n'est pas le propriétaire) essaie d'effectuer sa première action (par exemple insert), le modificateur vérifie si l'utilisateur a au moins </w:t>
      </w:r>
      <w:r w:rsidDel="00000000" w:rsidR="00000000" w:rsidRPr="00000000">
        <w:rPr>
          <w:b w:val="1"/>
          <w:bCs w:val="1"/>
          <w:rtl w:val="0"/>
        </w:rPr>
        <w:t xml:space="preserve">100 CreditToken</w:t>
      </w:r>
      <w:r w:rsidDel="00000000" w:rsidR="00000000" w:rsidRPr="00000000">
        <w:rPr>
          <w:rtl w:val="0"/>
        </w:rPr>
        <w:t xml:space="preserve"> (minCreditBalance).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Qualification</w:t>
      </w:r>
      <w:r w:rsidDel="00000000" w:rsidR="00000000" w:rsidRPr="00000000">
        <w:rPr>
          <w:rtl w:val="0"/>
        </w:rPr>
        <w:t xml:space="preserve"> : Si l'utilisateur remplit la condition des 100 tokens minimum, le contrat définit isQualifiedUser[msg.sender] = true.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Transactions Subséquentes</w:t>
      </w:r>
      <w:r w:rsidDel="00000000" w:rsidR="00000000" w:rsidRPr="00000000">
        <w:rPr>
          <w:rtl w:val="0"/>
        </w:rPr>
        <w:t xml:space="preserve"> : Pour toutes les transactions futures, le modificateur vérifie que l'utilisateur est qualifié et passe outre la vérification des 100 tokens.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Fonction _takeFee (Frais par Transaction)</w:t>
      </w:r>
      <w:r w:rsidDel="00000000" w:rsidR="00000000" w:rsidRPr="00000000">
        <w:rPr>
          <w:rtl w:val="0"/>
        </w:rPr>
        <w:br w:type="textWrapping"/>
        <w:t xml:space="preserve">Cette fonction est appelée par toutes les fonctions principales des utilisateurs (comme insert, push, updateLotInfo) après que la vérification </w:t>
      </w:r>
      <w:r w:rsidDel="00000000" w:rsidR="00000000" w:rsidRPr="00000000">
        <w:rPr>
          <w:b w:val="1"/>
          <w:bCs w:val="1"/>
          <w:rtl w:val="0"/>
        </w:rPr>
        <w:t xml:space="preserve">hasCredit</w:t>
      </w:r>
      <w:r w:rsidDel="00000000" w:rsidR="00000000" w:rsidRPr="00000000">
        <w:rPr>
          <w:rtl w:val="0"/>
        </w:rPr>
        <w:t xml:space="preserve"> ait été validée :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Vérification des frais</w:t>
      </w:r>
      <w:r w:rsidDel="00000000" w:rsidR="00000000" w:rsidRPr="00000000">
        <w:rPr>
          <w:rtl w:val="0"/>
        </w:rPr>
        <w:t xml:space="preserve"> : Elle vérifie si l'utilisateur dispose des tokens nécessaires pour payer le </w:t>
      </w:r>
      <w:r w:rsidDel="00000000" w:rsidR="00000000" w:rsidRPr="00000000">
        <w:rPr>
          <w:b w:val="1"/>
          <w:bCs w:val="1"/>
          <w:rtl w:val="0"/>
        </w:rPr>
        <w:t xml:space="preserve">fixedFee</w:t>
      </w:r>
      <w:r w:rsidDel="00000000" w:rsidR="00000000" w:rsidRPr="00000000">
        <w:rPr>
          <w:rtl w:val="0"/>
        </w:rPr>
        <w:t xml:space="preserve"> (1 CreditToken).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Approbation Requise</w:t>
      </w:r>
      <w:r w:rsidDel="00000000" w:rsidR="00000000" w:rsidRPr="00000000">
        <w:rPr>
          <w:rtl w:val="0"/>
        </w:rPr>
        <w:t xml:space="preserve"> : Elle utilise creditToken.transferFrom(). Cela signifie que l'utilisateur doit avoir d'abord envoyé une transaction d'approbation au contrat </w:t>
      </w:r>
      <w:r w:rsidDel="00000000" w:rsidR="00000000" w:rsidRPr="00000000">
        <w:rPr>
          <w:b w:val="1"/>
          <w:bCs w:val="1"/>
          <w:rtl w:val="0"/>
        </w:rPr>
        <w:t xml:space="preserve">CreditToken</w:t>
      </w:r>
      <w:r w:rsidDel="00000000" w:rsidR="00000000" w:rsidRPr="00000000">
        <w:rPr>
          <w:rtl w:val="0"/>
        </w:rPr>
        <w:t xml:space="preserve">, autorisant le contrat </w:t>
      </w:r>
      <w:r w:rsidDel="00000000" w:rsidR="00000000" w:rsidRPr="00000000">
        <w:rPr>
          <w:b w:val="1"/>
          <w:bCs w:val="1"/>
          <w:rtl w:val="0"/>
        </w:rPr>
        <w:t xml:space="preserve">LotTracker</w:t>
      </w:r>
      <w:r w:rsidDel="00000000" w:rsidR="00000000" w:rsidRPr="00000000">
        <w:rPr>
          <w:rtl w:val="0"/>
        </w:rPr>
        <w:t xml:space="preserve"> à retirer au moins 1 token.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Exemption pour le Propriétaire</w:t>
      </w:r>
      <w:r w:rsidDel="00000000" w:rsidR="00000000" w:rsidRPr="00000000">
        <w:rPr>
          <w:rtl w:val="0"/>
        </w:rPr>
        <w:t xml:space="preserve"> : Le propriétaire du contrat est exempté de la fonction _takeFee, ce qui lui permet de réaliser des actions sans payer de frais ni avoir besoin d'une approbation.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Résumé Fonctionnel Complet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Fonctions Principales (Transactions d'Écriture)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Ce sont les principales actions qu'un utilisateur qualifié peut effectuer. Toutes ces fonctions nécessitent le modificateur </w:t>
      </w:r>
      <w:r w:rsidDel="00000000" w:rsidR="00000000" w:rsidRPr="00000000">
        <w:rPr>
          <w:b w:val="1"/>
          <w:bCs w:val="1"/>
          <w:rtl w:val="0"/>
        </w:rPr>
        <w:t xml:space="preserve">hasCredit</w:t>
      </w:r>
      <w:r w:rsidDel="00000000" w:rsidR="00000000" w:rsidRPr="00000000">
        <w:rPr>
          <w:rtl w:val="0"/>
        </w:rPr>
        <w:t xml:space="preserve"> et, sauf pour le propriétaire, appellent la fonction _takeFee.</w:t>
      </w:r>
    </w:p>
    <w:tbl>
      <w:tblPr>
        <w:tblStyle w:val="Table1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2048"/>
        <w:tblGridChange w:id="0">
          <w:tblGrid>
            <w:gridCol w:w="1900"/>
            <w:gridCol w:w="120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insert(...)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Crée un nouveau lot. Minter un nouveau NFT (ID de Token) pour l'appelant (msg.sender) et stocke toutes les données fournies (nom, fabricant, date, emplacement, URI) dans le mapping medicationLots.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push(...)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Transfère un lot. Transfère le NFT du propriétaire actuel (msg.sender) à un nouveau propriétaire et met à jour currentLocation et currentHandler. Cela met aussi à jour ownershipHistory.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updateLotInfo(...)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Met à jour les informations du lot. Permet au propriétaire actuel d'un NFT de modifier ses métadonnées (nom, fabricant, emplacement, etc.).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setInactive(...)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Définit le statut du lot sur "Inactif".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activateLot(...)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Réactive un lot, modifiant son statut de "Inactif" à "Actif".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discardLot(...)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Définit le statut du lot sur "Discaré" (état final permanent).</w:t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Fonctions de Lecture (Vue)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Ces fonctions peuvent être appelées gratuitement pour récupérer des données depuis la blockchain.</w:t>
      </w:r>
    </w:p>
    <w:tbl>
      <w:tblPr>
        <w:tblStyle w:val="Table2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8"/>
        <w:gridCol w:w="10680"/>
        <w:tblGridChange w:id="0">
          <w:tblGrid>
            <w:gridCol w:w="3268"/>
            <w:gridCol w:w="106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pull(tokenId)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Récupère toutes les données du lot de médicament correspondant au tokenId (retourne toute la struct MedicationLot et l'historique des propriétaires).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getLotStatus(tokenId)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Retourne le statut du lot sous forme de chaîne (ex. : "Actif", "Inactif").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isQualifiedUser(address)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Retourne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selon si un utilisateur a rempli la condition des 100 tokens.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medicationLots(tokenId)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Récupère la struct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MedicationLot</w:t>
            </w:r>
            <w:r w:rsidDel="00000000" w:rsidR="00000000" w:rsidRPr="00000000">
              <w:rPr>
                <w:rtl w:val="0"/>
              </w:rPr>
              <w:t xml:space="preserve"> du mapping medicationLots.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ownershipHistory(tokenId, index)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Récupère l'historique des propriétaires d'un lot en fonction du tokenId et de l'index.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tokenIdCounter()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Retourne le nombre total de lots créés.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creditToken()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Retourne l'adresse du contrat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CreditToken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FEE_RECIPIENT()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Retourne l'adresse du portefeuille qui reçoit tous les paiements des frais fixes.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fixedFee()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Retourne le montant des frais pour chaque transaction (en wei).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minCreditBalance()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Retourne le solde minimum nécessaire pour la qualification (en wei).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Fonctions Administratives (Uniquement pour le Propriétaire)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Ces fonctions peuvent uniquement être appelées par le propriétaire du contrat (l'adresse qui a déployé le contrat).</w:t>
      </w:r>
    </w:p>
    <w:tbl>
      <w:tblPr>
        <w:tblStyle w:val="Table3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5"/>
        <w:gridCol w:w="10043"/>
        <w:tblGridChange w:id="0">
          <w:tblGrid>
            <w:gridCol w:w="3905"/>
            <w:gridCol w:w="100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setFixedFee(newFee)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Permet au propriétaire de modifier les frais fixes (1 token).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setMinCreditBalance(newMin)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Permet au propriétaire de modifier le solde minimum nécessaire pour la qualification (100 tokens).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setFeeRecipient(newAddress)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Permet au propriétaire de modifier l'adresse du portefeuille recevant les paiements des frais.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setCreditTokenAddress(newAddress)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Permet au propriétaire de mettre à jour l'adresse du contrat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CreditToken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Cela résume les fonctionnalités principales et administratives du contrat </w:t>
      </w:r>
      <w:r w:rsidDel="00000000" w:rsidR="00000000" w:rsidRPr="00000000">
        <w:rPr>
          <w:b w:val="1"/>
          <w:bCs w:val="1"/>
          <w:rtl w:val="0"/>
        </w:rPr>
        <w:t xml:space="preserve">LotTracker</w:t>
      </w:r>
      <w:r w:rsidDel="00000000" w:rsidR="00000000" w:rsidRPr="00000000">
        <w:rPr>
          <w:rtl w:val="0"/>
        </w:rPr>
        <w:t xml:space="preserve"> ainsi que la logique des frais et qualification des utilisateurs.</w:t>
      </w:r>
    </w:p>
    <w:p w:rsidR="00000000" w:rsidDel="00000000" w:rsidP="00000000" w:rsidRDefault="00000000" w:rsidRPr="00000000" w14:paraId="00000089">
      <w:pPr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UserAuth contract description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Description générale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 contrat </w:t>
      </w:r>
      <w:r w:rsidDel="00000000" w:rsidR="00000000" w:rsidRPr="00000000">
        <w:rPr>
          <w:b w:val="1"/>
          <w:bCs w:val="1"/>
          <w:rtl w:val="0"/>
        </w:rPr>
        <w:t xml:space="preserve">UserAuth</w:t>
      </w:r>
      <w:r w:rsidDel="00000000" w:rsidR="00000000" w:rsidRPr="00000000">
        <w:rPr>
          <w:rtl w:val="0"/>
        </w:rPr>
        <w:t xml:space="preserve">, également désigné comme </w:t>
      </w:r>
      <w:r w:rsidDel="00000000" w:rsidR="00000000" w:rsidRPr="00000000">
        <w:rPr>
          <w:b w:val="1"/>
          <w:bCs w:val="1"/>
          <w:rtl w:val="0"/>
        </w:rPr>
        <w:t xml:space="preserve">IBA (Identity &amp; Ban Administration)</w:t>
      </w:r>
      <w:r w:rsidDel="00000000" w:rsidR="00000000" w:rsidRPr="00000000">
        <w:rPr>
          <w:rtl w:val="0"/>
        </w:rPr>
        <w:t xml:space="preserve">, est un </w:t>
      </w:r>
      <w:r w:rsidDel="00000000" w:rsidR="00000000" w:rsidRPr="00000000">
        <w:rPr>
          <w:b w:val="1"/>
          <w:bCs w:val="1"/>
          <w:rtl w:val="0"/>
        </w:rPr>
        <w:t xml:space="preserve">système d’authentification décentralisé</w:t>
      </w:r>
      <w:r w:rsidDel="00000000" w:rsidR="00000000" w:rsidRPr="00000000">
        <w:rPr>
          <w:rtl w:val="0"/>
        </w:rPr>
        <w:t xml:space="preserve"> permettant la </w:t>
      </w:r>
      <w:r w:rsidDel="00000000" w:rsidR="00000000" w:rsidRPr="00000000">
        <w:rPr>
          <w:b w:val="1"/>
          <w:bCs w:val="1"/>
          <w:rtl w:val="0"/>
        </w:rPr>
        <w:t xml:space="preserve">gestion des utilisateurs</w:t>
      </w:r>
      <w:r w:rsidDel="00000000" w:rsidR="00000000" w:rsidRPr="00000000">
        <w:rPr>
          <w:rtl w:val="0"/>
        </w:rPr>
        <w:t xml:space="preserve">, de leurs </w:t>
      </w:r>
      <w:r w:rsidDel="00000000" w:rsidR="00000000" w:rsidRPr="00000000">
        <w:rPr>
          <w:b w:val="1"/>
          <w:bCs w:val="1"/>
          <w:rtl w:val="0"/>
        </w:rPr>
        <w:t xml:space="preserve">comptes</w:t>
      </w:r>
      <w:r w:rsidDel="00000000" w:rsidR="00000000" w:rsidRPr="00000000">
        <w:rPr>
          <w:rtl w:val="0"/>
        </w:rPr>
        <w:t xml:space="preserve">, et de leurs </w:t>
      </w:r>
      <w:r w:rsidDel="00000000" w:rsidR="00000000" w:rsidRPr="00000000">
        <w:rPr>
          <w:b w:val="1"/>
          <w:bCs w:val="1"/>
          <w:rtl w:val="0"/>
        </w:rPr>
        <w:t xml:space="preserve">crédits tokenisés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Il intègre la logique d’un </w:t>
      </w:r>
      <w:r w:rsidDel="00000000" w:rsidR="00000000" w:rsidRPr="00000000">
        <w:rPr>
          <w:b w:val="1"/>
          <w:bCs w:val="1"/>
          <w:rtl w:val="0"/>
        </w:rPr>
        <w:t xml:space="preserve">token ERC-20 externe</w:t>
      </w:r>
      <w:r w:rsidDel="00000000" w:rsidR="00000000" w:rsidRPr="00000000">
        <w:rPr>
          <w:rtl w:val="0"/>
        </w:rPr>
        <w:t xml:space="preserve"> (comme CreditToken) pour gérer les crédits attribués aux utilisateurs et offre des fonctionnalités d’inscription, de connexion, de changement de mot de passe, et de bannissement.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Ce contrat a été déployé sur la blockchain Hedera</w:t>
      </w:r>
      <w:r w:rsidDel="00000000" w:rsidR="00000000" w:rsidRPr="00000000">
        <w:rPr>
          <w:rtl w:val="0"/>
        </w:rPr>
        <w:t xml:space="preserve">, utilisant le </w:t>
      </w:r>
      <w:r w:rsidDel="00000000" w:rsidR="00000000" w:rsidRPr="00000000">
        <w:rPr>
          <w:b w:val="1"/>
          <w:bCs w:val="1"/>
          <w:rtl w:val="0"/>
        </w:rPr>
        <w:t xml:space="preserve">réseau Hedera Smart Contract Service (HSCS)</w:t>
      </w:r>
      <w:r w:rsidDel="00000000" w:rsidR="00000000" w:rsidRPr="00000000">
        <w:rPr>
          <w:rtl w:val="0"/>
        </w:rPr>
        <w:t xml:space="preserve"> compatible </w:t>
      </w:r>
      <w:r w:rsidDel="00000000" w:rsidR="00000000" w:rsidRPr="00000000">
        <w:rPr>
          <w:b w:val="1"/>
          <w:bCs w:val="1"/>
          <w:rtl w:val="0"/>
        </w:rPr>
        <w:t xml:space="preserve">EVM (Ethereum Virtual Machine)</w:t>
      </w:r>
      <w:r w:rsidDel="00000000" w:rsidR="00000000" w:rsidRPr="00000000">
        <w:rPr>
          <w:rtl w:val="0"/>
        </w:rPr>
        <w:t xml:space="preserve">.</w:t>
        <w:br w:type="textWrapping"/>
        <w:t xml:space="preserve">Cela lui permet de bénéficier de la </w:t>
      </w:r>
      <w:r w:rsidDel="00000000" w:rsidR="00000000" w:rsidRPr="00000000">
        <w:rPr>
          <w:b w:val="1"/>
          <w:bCs w:val="1"/>
          <w:rtl w:val="0"/>
        </w:rPr>
        <w:t xml:space="preserve">rapidité</w:t>
      </w:r>
      <w:r w:rsidDel="00000000" w:rsidR="00000000" w:rsidRPr="00000000">
        <w:rPr>
          <w:rtl w:val="0"/>
        </w:rPr>
        <w:t xml:space="preserve">, de la </w:t>
      </w:r>
      <w:r w:rsidDel="00000000" w:rsidR="00000000" w:rsidRPr="00000000">
        <w:rPr>
          <w:b w:val="1"/>
          <w:bCs w:val="1"/>
          <w:rtl w:val="0"/>
        </w:rPr>
        <w:t xml:space="preserve">sécurité hashgraph</w:t>
      </w:r>
      <w:r w:rsidDel="00000000" w:rsidR="00000000" w:rsidRPr="00000000">
        <w:rPr>
          <w:rtl w:val="0"/>
        </w:rPr>
        <w:t xml:space="preserve">, et de </w:t>
      </w:r>
      <w:r w:rsidDel="00000000" w:rsidR="00000000" w:rsidRPr="00000000">
        <w:rPr>
          <w:b w:val="1"/>
          <w:bCs w:val="1"/>
          <w:rtl w:val="0"/>
        </w:rPr>
        <w:t xml:space="preserve">frais de gaz extrêmement faibles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 Fonctionnalités principales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Constructeur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constructor(address tokenAddress)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Initialise le contrat avec l’adresse d’un </w:t>
      </w:r>
      <w:r w:rsidDel="00000000" w:rsidR="00000000" w:rsidRPr="00000000">
        <w:rPr>
          <w:b w:val="1"/>
          <w:bCs w:val="1"/>
          <w:rtl w:val="0"/>
        </w:rPr>
        <w:t xml:space="preserve">token ERC20</w:t>
      </w:r>
      <w:r w:rsidDel="00000000" w:rsidR="00000000" w:rsidRPr="00000000">
        <w:rPr>
          <w:rtl w:val="0"/>
        </w:rPr>
        <w:t xml:space="preserve"> (ex : CreditToken déployé sur Hedera).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Définit le </w:t>
      </w:r>
      <w:r w:rsidDel="00000000" w:rsidR="00000000" w:rsidRPr="00000000">
        <w:rPr>
          <w:b w:val="1"/>
          <w:bCs w:val="1"/>
          <w:rtl w:val="0"/>
        </w:rPr>
        <w:t xml:space="preserve">déployeur du contrat (msg.sender)</w:t>
      </w:r>
      <w:r w:rsidDel="00000000" w:rsidR="00000000" w:rsidRPr="00000000">
        <w:rPr>
          <w:rtl w:val="0"/>
        </w:rPr>
        <w:t xml:space="preserve"> comme </w:t>
      </w:r>
      <w:r w:rsidDel="00000000" w:rsidR="00000000" w:rsidRPr="00000000">
        <w:rPr>
          <w:b w:val="1"/>
          <w:bCs w:val="1"/>
          <w:rtl w:val="0"/>
        </w:rPr>
        <w:t xml:space="preserve">propriétaire (admin)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Gestion des utilisateurs</w:t>
      </w:r>
    </w:p>
    <w:tbl>
      <w:tblPr>
        <w:tblStyle w:val="Table4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47"/>
        <w:gridCol w:w="8301"/>
        <w:tblGridChange w:id="0">
          <w:tblGrid>
            <w:gridCol w:w="5647"/>
            <w:gridCol w:w="83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register(string email, string passwordHash, string username)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Enregistre un nouvel utilisateur et lui attribue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crédits initiaux</w:t>
            </w:r>
            <w:r w:rsidDel="00000000" w:rsidR="00000000" w:rsidRPr="00000000">
              <w:rPr>
                <w:rtl w:val="0"/>
              </w:rPr>
              <w:t xml:space="preserve"> + transfert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tokens ERC20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login(string email, string passwordHash)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Permet à un utilisateur de se connecter après vérification du hash du mot de passe.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changePassword(string oldHash, string newHash)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Met à jour le mot de passe (stocké sous forme de hash).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getUserInfo() / getUserInfoByAddress(address)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Retourne les informations utilisateur (email, pseudo, date de création).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getAllUserInfo()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Liste tous les utilisateurs enregistrés avec leurs informations de base.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Crédits et tokens</w:t>
      </w:r>
    </w:p>
    <w:tbl>
      <w:tblPr>
        <w:tblStyle w:val="Table5"/>
        <w:tblW w:w="122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0"/>
        <w:gridCol w:w="8513"/>
        <w:tblGridChange w:id="0">
          <w:tblGrid>
            <w:gridCol w:w="3770"/>
            <w:gridCol w:w="85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requestCredits(uint256 amount)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Déduit un certain nombre de crédits internes d’un utilisateur.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checkUserCredit(address)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Vérifie le solde de crédits internes (non liés directement au token ERC20).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creditToken()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Retourne l’adresse du contrat ERC20 utilisé comme jeton de crédit.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checkTargetAddressTokenBalance()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Vérifie le solde du token ERC20 pour une adresse spécifique sur le réseau Hedera.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Administration et bannissement</w:t>
      </w:r>
    </w:p>
    <w:tbl>
      <w:tblPr>
        <w:tblStyle w:val="Table6"/>
        <w:tblW w:w="101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1"/>
        <w:gridCol w:w="4728"/>
        <w:gridCol w:w="2074"/>
        <w:tblGridChange w:id="0">
          <w:tblGrid>
            <w:gridCol w:w="3351"/>
            <w:gridCol w:w="4728"/>
            <w:gridCol w:w="20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Accès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banUser(address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Bannit un utilisateur du système.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Admin uniquement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unbanUser(address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Réactive un utilisateur précédemment banni.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Admin uniquement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getBannedStatus(address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Indique si un utilisateur est banni.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Historique &amp; journalisation</w:t>
      </w:r>
      <w:r w:rsidDel="00000000" w:rsidR="00000000" w:rsidRPr="00000000">
        <w:rPr>
          <w:rtl w:val="0"/>
        </w:rPr>
      </w:r>
    </w:p>
    <w:tbl>
      <w:tblPr>
        <w:tblStyle w:val="Table7"/>
        <w:tblW w:w="98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9"/>
        <w:gridCol w:w="6619"/>
        <w:tblGridChange w:id="0">
          <w:tblGrid>
            <w:gridCol w:w="3189"/>
            <w:gridCol w:w="66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getLoginHistory(address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Retourne la liste des horodatages de connexion d’un utilisateur.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getMyLoginHistory()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Retourne l’historique de connexions de l’utilisateur actuel.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getCreationTime()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Retourne la date de création du compte connecté.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 Événements</w:t>
      </w:r>
      <w:r w:rsidDel="00000000" w:rsidR="00000000" w:rsidRPr="00000000">
        <w:rPr>
          <w:rtl w:val="0"/>
        </w:rPr>
      </w:r>
    </w:p>
    <w:tbl>
      <w:tblPr>
        <w:tblStyle w:val="Table8"/>
        <w:tblW w:w="8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61"/>
        <w:gridCol w:w="4154"/>
        <w:tblGridChange w:id="0">
          <w:tblGrid>
            <w:gridCol w:w="4461"/>
            <w:gridCol w:w="41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Événement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Registered(address, string, string, uint256)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Nouvel utilisateur enregistré.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LoggedIn(address, uint256)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Connexion réussie.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CreditsDeducted(address, uint256)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Crédits internes déduits.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PasswordChanged(address, uint256)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Mot de passe modifié.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AccountBanned(address, address)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Compte banni par un administrateur.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AccountUnbanned(address, address)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Compte débanni par un administrateur.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🌐</w:t>
      </w:r>
      <w:r w:rsidDel="00000000" w:rsidR="00000000" w:rsidRPr="00000000">
        <w:rPr>
          <w:b w:val="1"/>
          <w:bCs w:val="1"/>
          <w:rtl w:val="0"/>
        </w:rPr>
        <w:t xml:space="preserve"> Informations réseau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: Hedera Hashgraph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 utilisé</w:t>
      </w:r>
      <w:r w:rsidDel="00000000" w:rsidR="00000000" w:rsidRPr="00000000">
        <w:rPr>
          <w:rtl w:val="0"/>
        </w:rPr>
        <w:t xml:space="preserve"> : Hedera Smart Contract Service (HSCS)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Compatibilité</w:t>
      </w:r>
      <w:r w:rsidDel="00000000" w:rsidR="00000000" w:rsidRPr="00000000">
        <w:rPr>
          <w:rtl w:val="0"/>
        </w:rPr>
        <w:t xml:space="preserve"> : EVM complète (supporte les contrats Solidity)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 de contrat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Déployeur / Owner</w:t>
      </w:r>
      <w:r w:rsidDel="00000000" w:rsidR="00000000" w:rsidRPr="00000000">
        <w:rPr>
          <w:rtl w:val="0"/>
        </w:rPr>
        <w:t xml:space="preserve"> : 0x08a5b2500742b452f8e4ce60a3afaa96dcdd7a1b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Token associé</w:t>
      </w:r>
      <w:r w:rsidDel="00000000" w:rsidR="00000000" w:rsidRPr="00000000">
        <w:rPr>
          <w:rtl w:val="0"/>
        </w:rPr>
        <w:t xml:space="preserve"> : CreditToken (contrat ERC20 également déployé sur Hedera)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Adresse exemple</w:t>
      </w:r>
      <w:r w:rsidDel="00000000" w:rsidR="00000000" w:rsidRPr="00000000">
        <w:rPr>
          <w:rtl w:val="0"/>
        </w:rPr>
        <w:t xml:space="preserve"> :  0xdbc22b309b0c46e43c08d39c7f8acf119e091651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 Résumé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 contrat UserAuth (IBA) sur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rtl w:val="0"/>
        </w:rPr>
        <w:t xml:space="preserve"> agit comme un </w:t>
      </w:r>
      <w:r w:rsidDel="00000000" w:rsidR="00000000" w:rsidRPr="00000000">
        <w:rPr>
          <w:b w:val="1"/>
          <w:bCs w:val="1"/>
          <w:rtl w:val="0"/>
        </w:rPr>
        <w:t xml:space="preserve">système d’identité Web3 complet</w:t>
      </w:r>
      <w:r w:rsidDel="00000000" w:rsidR="00000000" w:rsidRPr="00000000">
        <w:rPr>
          <w:rtl w:val="0"/>
        </w:rPr>
        <w:t xml:space="preserve">, combinant 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Authentification décentralisée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Gestion des comptes et crédits utilisateurs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Intégration native d’un token ERC20 (CreditToken)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Outils d’administration (ban/unban, logs, sécurité)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Il est optimisé pour un environnement Hedera, garantissant 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frais minimes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exécution rapide et fiable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interopérabilité totale</w:t>
      </w:r>
      <w:r w:rsidDel="00000000" w:rsidR="00000000" w:rsidRPr="00000000">
        <w:rPr>
          <w:rtl w:val="0"/>
        </w:rPr>
        <w:t xml:space="preserve"> avec l’écosystème EVM d’Hedera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Credit token contract description 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Description générale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Le contrat </w:t>
      </w:r>
      <w:r w:rsidDel="00000000" w:rsidR="00000000" w:rsidRPr="00000000">
        <w:rPr>
          <w:b w:val="1"/>
          <w:bCs w:val="1"/>
          <w:rtl w:val="0"/>
        </w:rPr>
        <w:t xml:space="preserve">CreditToken</w:t>
      </w:r>
      <w:r w:rsidDel="00000000" w:rsidR="00000000" w:rsidRPr="00000000">
        <w:rPr>
          <w:rtl w:val="0"/>
        </w:rPr>
        <w:t xml:space="preserve"> est un </w:t>
      </w:r>
      <w:r w:rsidDel="00000000" w:rsidR="00000000" w:rsidRPr="00000000">
        <w:rPr>
          <w:b w:val="1"/>
          <w:bCs w:val="1"/>
          <w:rtl w:val="0"/>
        </w:rPr>
        <w:t xml:space="preserve">jeton ERC-20</w:t>
      </w:r>
      <w:r w:rsidDel="00000000" w:rsidR="00000000" w:rsidRPr="00000000">
        <w:rPr>
          <w:rtl w:val="0"/>
        </w:rPr>
        <w:t xml:space="preserve"> standard basé sur la bibliothèque </w:t>
      </w:r>
      <w:r w:rsidDel="00000000" w:rsidR="00000000" w:rsidRPr="00000000">
        <w:rPr>
          <w:b w:val="1"/>
          <w:bCs w:val="1"/>
          <w:rtl w:val="0"/>
        </w:rPr>
        <w:t xml:space="preserve">OpenZeppelin</w:t>
      </w:r>
      <w:r w:rsidDel="00000000" w:rsidR="00000000" w:rsidRPr="00000000">
        <w:rPr>
          <w:rtl w:val="0"/>
        </w:rPr>
        <w:t xml:space="preserve">.</w:t>
        <w:br w:type="textWrapping"/>
        <w:t xml:space="preserve">Il définit un </w:t>
      </w:r>
      <w:r w:rsidDel="00000000" w:rsidR="00000000" w:rsidRPr="00000000">
        <w:rPr>
          <w:b w:val="1"/>
          <w:bCs w:val="1"/>
          <w:rtl w:val="0"/>
        </w:rPr>
        <w:t xml:space="preserve">token fongible</w:t>
      </w:r>
      <w:r w:rsidDel="00000000" w:rsidR="00000000" w:rsidRPr="00000000">
        <w:rPr>
          <w:rtl w:val="0"/>
        </w:rPr>
        <w:t xml:space="preserve"> avec un </w:t>
      </w:r>
      <w:r w:rsidDel="00000000" w:rsidR="00000000" w:rsidRPr="00000000">
        <w:rPr>
          <w:b w:val="1"/>
          <w:bCs w:val="1"/>
          <w:rtl w:val="0"/>
        </w:rPr>
        <w:t xml:space="preserve">nom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symbole</w:t>
      </w:r>
      <w:r w:rsidDel="00000000" w:rsidR="00000000" w:rsidRPr="00000000">
        <w:rPr>
          <w:rtl w:val="0"/>
        </w:rPr>
        <w:t xml:space="preserve">, et une </w:t>
      </w:r>
      <w:r w:rsidDel="00000000" w:rsidR="00000000" w:rsidRPr="00000000">
        <w:rPr>
          <w:b w:val="1"/>
          <w:bCs w:val="1"/>
          <w:rtl w:val="0"/>
        </w:rPr>
        <w:t xml:space="preserve">quantité initiale</w:t>
      </w:r>
      <w:r w:rsidDel="00000000" w:rsidR="00000000" w:rsidRPr="00000000">
        <w:rPr>
          <w:rtl w:val="0"/>
        </w:rPr>
        <w:t xml:space="preserve"> créée lors du déploiement du contrat.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Ce contrat a été déployé sur la blockchain Hedera</w:t>
      </w:r>
      <w:r w:rsidDel="00000000" w:rsidR="00000000" w:rsidRPr="00000000">
        <w:rPr>
          <w:rtl w:val="0"/>
        </w:rPr>
        <w:t xml:space="preserve">, ce qui lui permet de bénéficier de la </w:t>
      </w:r>
      <w:r w:rsidDel="00000000" w:rsidR="00000000" w:rsidRPr="00000000">
        <w:rPr>
          <w:b w:val="1"/>
          <w:bCs w:val="1"/>
          <w:rtl w:val="0"/>
        </w:rPr>
        <w:t xml:space="preserve">vitesse</w:t>
      </w:r>
      <w:r w:rsidDel="00000000" w:rsidR="00000000" w:rsidRPr="00000000">
        <w:rPr>
          <w:rtl w:val="0"/>
        </w:rPr>
        <w:t xml:space="preserve">, des </w:t>
      </w:r>
      <w:r w:rsidDel="00000000" w:rsidR="00000000" w:rsidRPr="00000000">
        <w:rPr>
          <w:b w:val="1"/>
          <w:bCs w:val="1"/>
          <w:rtl w:val="0"/>
        </w:rPr>
        <w:t xml:space="preserve">frais très faibles</w:t>
      </w:r>
      <w:r w:rsidDel="00000000" w:rsidR="00000000" w:rsidRPr="00000000">
        <w:rPr>
          <w:rtl w:val="0"/>
        </w:rPr>
        <w:t xml:space="preserve">, et de la </w:t>
      </w:r>
      <w:r w:rsidDel="00000000" w:rsidR="00000000" w:rsidRPr="00000000">
        <w:rPr>
          <w:b w:val="1"/>
          <w:bCs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 du réseau Hedera Hashgraph.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Ce token peut être utilisé comme :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Monnaie numérique interne (crédits, points, récompenses, etc.)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Jeton d’utilité dans une application décentralisée sur Hedera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Actif interopérable compatible ERC20 pour les smart contracts EVM sur Hedera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 Fonctionnalités principales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Constructeur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constructor(string memory name, string memory symbol, uint256 initialSupply)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Initialise le nom et le symbole du token.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Crée la </w:t>
      </w:r>
      <w:r w:rsidDel="00000000" w:rsidR="00000000" w:rsidRPr="00000000">
        <w:rPr>
          <w:b w:val="1"/>
          <w:bCs w:val="1"/>
          <w:rtl w:val="0"/>
        </w:rPr>
        <w:t xml:space="preserve">quantité initiale</w:t>
      </w:r>
      <w:r w:rsidDel="00000000" w:rsidR="00000000" w:rsidRPr="00000000">
        <w:rPr>
          <w:rtl w:val="0"/>
        </w:rPr>
        <w:t xml:space="preserve"> (initialSupply) de tokens.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Les tokens sont attribués directement au </w:t>
      </w:r>
      <w:r w:rsidDel="00000000" w:rsidR="00000000" w:rsidRPr="00000000">
        <w:rPr>
          <w:b w:val="1"/>
          <w:bCs w:val="1"/>
          <w:rtl w:val="0"/>
        </w:rPr>
        <w:t xml:space="preserve">déployeur du contrat</w:t>
      </w:r>
      <w:r w:rsidDel="00000000" w:rsidR="00000000" w:rsidRPr="00000000">
        <w:rPr>
          <w:rtl w:val="0"/>
        </w:rPr>
        <w:t xml:space="preserve"> (msg.sender), c’est-à-dire le compte ayant déployé le contrat sur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🌐</w:t>
      </w:r>
      <w:r w:rsidDel="00000000" w:rsidR="00000000" w:rsidRPr="00000000">
        <w:rPr>
          <w:b w:val="1"/>
          <w:bCs w:val="1"/>
          <w:rtl w:val="0"/>
        </w:rPr>
        <w:t xml:space="preserve"> Réseau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: Hedera Hashgraph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Compatibilité</w:t>
      </w:r>
      <w:r w:rsidDel="00000000" w:rsidR="00000000" w:rsidRPr="00000000">
        <w:rPr>
          <w:rtl w:val="0"/>
        </w:rPr>
        <w:t xml:space="preserve"> : EVM (Ethereum Virtual Machine)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 de contrat</w:t>
      </w:r>
      <w:r w:rsidDel="00000000" w:rsidR="00000000" w:rsidRPr="00000000">
        <w:rPr>
          <w:rtl w:val="0"/>
        </w:rPr>
        <w:t xml:space="preserve"> : ERC20 standard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Déployeur</w:t>
      </w:r>
      <w:r w:rsidDel="00000000" w:rsidR="00000000" w:rsidRPr="00000000">
        <w:rPr>
          <w:rtl w:val="0"/>
        </w:rPr>
        <w:t xml:space="preserve"> : 0x0932c157d51c1a8b1df86de7a4cef9033567f684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Adresse exemple</w:t>
      </w:r>
      <w:r w:rsidDel="00000000" w:rsidR="00000000" w:rsidRPr="00000000">
        <w:rPr>
          <w:rtl w:val="0"/>
        </w:rPr>
        <w:t xml:space="preserve"> : 0x42a05014306386b823329f777eb09ec1f493d69c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Exemple 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CreditToken("CreditToken", "CRD", 1000000);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→ Crée 1 000 000 tokens nommés </w:t>
      </w:r>
      <w:r w:rsidDel="00000000" w:rsidR="00000000" w:rsidRPr="00000000">
        <w:rPr>
          <w:i w:val="1"/>
          <w:iCs w:val="1"/>
          <w:rtl w:val="0"/>
        </w:rPr>
        <w:t xml:space="preserve">CreditToken (CRD)</w:t>
      </w:r>
      <w:r w:rsidDel="00000000" w:rsidR="00000000" w:rsidRPr="00000000">
        <w:rPr>
          <w:rtl w:val="0"/>
        </w:rPr>
        <w:t xml:space="preserve"> pour le propriétaire.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2. Fonctions ERC20 standard</w:t>
      </w:r>
    </w:p>
    <w:tbl>
      <w:tblPr>
        <w:tblStyle w:val="Table9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8"/>
        <w:gridCol w:w="7267"/>
        <w:gridCol w:w="1273"/>
        <w:tblGridChange w:id="0">
          <w:tblGrid>
            <w:gridCol w:w="5408"/>
            <w:gridCol w:w="7267"/>
            <w:gridCol w:w="127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name()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Retourne le nom du token.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symbol()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Retourne le symbole du token.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decimals()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Retourne le nombre de décimales (par défaut 18).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totalSupply()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Montant total de tokens en circulation.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balanceOf(address account)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Solde du compte donné.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transfer(address to, uint256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Transfère des tokens de l’expéditeur vers un autre compte.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approve(address spender, uint256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Autorise un tiers (spender) à dépenser une certaine quantité de tokens.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allowance(address owner, address spender)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Retourne la quantité que spender peut encore dépenser au nom de owner.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transferFrom(address from, address to, uint256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Transfère des tokens depuis from vers to (utilise l’allocation).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3. Événements</w:t>
      </w:r>
    </w:p>
    <w:tbl>
      <w:tblPr>
        <w:tblStyle w:val="Table10"/>
        <w:tblW w:w="13958.0" w:type="dxa"/>
        <w:jc w:val="left"/>
        <w:tblLayout w:type="fixed"/>
        <w:tblLook w:val="0400"/>
      </w:tblPr>
      <w:tblGrid>
        <w:gridCol w:w="6981"/>
        <w:gridCol w:w="4816"/>
        <w:gridCol w:w="2161"/>
        <w:tblGridChange w:id="0">
          <w:tblGrid>
            <w:gridCol w:w="6981"/>
            <w:gridCol w:w="4816"/>
            <w:gridCol w:w="21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Événement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Déclenché quand...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Transfer(address indexed from, address indexed to, uint256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Des tokens sont transférés d’un compte à un autre.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from, to,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Approval(address indexed owner, address indexed spender, uint256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Une autorisation de dépense est modifiée.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owner, spender, value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4. Erreurs personnalisées (OpenZeppelin v5)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Le contrat inclut des </w:t>
      </w:r>
      <w:r w:rsidDel="00000000" w:rsidR="00000000" w:rsidRPr="00000000">
        <w:rPr>
          <w:b w:val="1"/>
          <w:bCs w:val="1"/>
          <w:rtl w:val="0"/>
        </w:rPr>
        <w:t xml:space="preserve">erreurs personnalisées</w:t>
      </w:r>
      <w:r w:rsidDel="00000000" w:rsidR="00000000" w:rsidRPr="00000000">
        <w:rPr>
          <w:rtl w:val="0"/>
        </w:rPr>
        <w:t xml:space="preserve"> pour une gestion plus efficace du gaz et une meilleure lecture des échecs de transaction :</w:t>
      </w:r>
    </w:p>
    <w:tbl>
      <w:tblPr>
        <w:tblStyle w:val="Table11"/>
        <w:tblW w:w="11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84"/>
        <w:gridCol w:w="5791"/>
        <w:tblGridChange w:id="0">
          <w:tblGrid>
            <w:gridCol w:w="6084"/>
            <w:gridCol w:w="57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Erreur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ERC20InsufficientAllowance(spender, allowance, needed)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Le montant autorisé est inférieur au montant demandé.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ERC20InsufficientBalance(sender, balance, needed)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Le solde de l’expéditeur est insuffisant.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ERC20InvalidApprover(approver)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Adresse invalide passée à approve().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ERC20InvalidReceiver(receiver)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Adresse invalide passée à transfer().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ERC20InvalidSender(sender)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Adresse invalide passée à transferFrom() ou transfer().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ERC20InvalidSpender(spender)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Adresse invalide passée à transferFrom() ou approve().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 Résumé fonctionnel</w:t>
      </w:r>
    </w:p>
    <w:tbl>
      <w:tblPr>
        <w:tblStyle w:val="Table12"/>
        <w:tblW w:w="11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8"/>
        <w:gridCol w:w="5788"/>
        <w:gridCol w:w="2274"/>
        <w:tblGridChange w:id="0">
          <w:tblGrid>
            <w:gridCol w:w="3138"/>
            <w:gridCol w:w="5788"/>
            <w:gridCol w:w="22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Fonctionnalité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Accès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Création de tokens initiaux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Générés au déploiement pour le créateur.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Transfert de tokens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Envoie de tokens entre adresses.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Autorisation de dépenses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Permet à un tiers de transférer des tokens à votre place.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Lecture des soldes et du 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Permet de connaître la quantité de tokens détenue.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Public (lecture seule)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Le contrat CreditToken est un </w:t>
      </w:r>
      <w:r w:rsidDel="00000000" w:rsidR="00000000" w:rsidRPr="00000000">
        <w:rPr>
          <w:b w:val="1"/>
          <w:bCs w:val="1"/>
          <w:rtl w:val="0"/>
        </w:rPr>
        <w:t xml:space="preserve">ERC20 simple et standardisé</w:t>
      </w:r>
      <w:r w:rsidDel="00000000" w:rsidR="00000000" w:rsidRPr="00000000">
        <w:rPr>
          <w:rtl w:val="0"/>
        </w:rPr>
        <w:t xml:space="preserve">, sécurisé par OpenZeppelin.</w:t>
        <w:br w:type="textWrapping"/>
        <w:t xml:space="preserve">Il ne contient </w:t>
      </w:r>
      <w:r w:rsidDel="00000000" w:rsidR="00000000" w:rsidRPr="00000000">
        <w:rPr>
          <w:b w:val="1"/>
          <w:bCs w:val="1"/>
          <w:rtl w:val="0"/>
        </w:rPr>
        <w:t xml:space="preserve">aucune logique de gouvernance, de burn, de mint supplémentaire</w:t>
      </w:r>
      <w:r w:rsidDel="00000000" w:rsidR="00000000" w:rsidRPr="00000000">
        <w:rPr>
          <w:rtl w:val="0"/>
        </w:rPr>
        <w:t xml:space="preserve">, ni de mécanisme de taxes ou de frais — c’est un </w:t>
      </w:r>
      <w:r w:rsidDel="00000000" w:rsidR="00000000" w:rsidRPr="00000000">
        <w:rPr>
          <w:b w:val="1"/>
          <w:bCs w:val="1"/>
          <w:rtl w:val="0"/>
        </w:rPr>
        <w:t xml:space="preserve">token de base</w:t>
      </w:r>
      <w:r w:rsidDel="00000000" w:rsidR="00000000" w:rsidRPr="00000000">
        <w:rPr>
          <w:rtl w:val="0"/>
        </w:rPr>
        <w:t xml:space="preserve"> idéal pour servir de jeton utilitaire ou de base à d’autres contrats.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Fiche de liaison – CreditToken ↔ UserAuth 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Déploiement sur : Hedera Smart Contract Service (HSCS)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i w:val="1"/>
          <w:iCs w:val="1"/>
          <w:rtl w:val="0"/>
        </w:rPr>
        <w:t xml:space="preserve">(Réseau compatible EVM – frais faibles, rapidité élevée, sécurité Hashgraph)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Vue d’ensemble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Le système est composé de </w:t>
      </w:r>
      <w:r w:rsidDel="00000000" w:rsidR="00000000" w:rsidRPr="00000000">
        <w:rPr>
          <w:b w:val="1"/>
          <w:bCs w:val="1"/>
          <w:rtl w:val="0"/>
        </w:rPr>
        <w:t xml:space="preserve">deux contrats interconnectés</w:t>
      </w:r>
      <w:r w:rsidDel="00000000" w:rsidR="00000000" w:rsidRPr="00000000">
        <w:rPr>
          <w:rtl w:val="0"/>
        </w:rPr>
        <w:t xml:space="preserve"> :</w:t>
      </w:r>
    </w:p>
    <w:tbl>
      <w:tblPr>
        <w:tblStyle w:val="Table13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9"/>
        <w:gridCol w:w="7485"/>
        <w:gridCol w:w="3329"/>
        <w:gridCol w:w="1545"/>
        <w:tblGridChange w:id="0">
          <w:tblGrid>
            <w:gridCol w:w="1589"/>
            <w:gridCol w:w="7485"/>
            <w:gridCol w:w="3329"/>
            <w:gridCol w:w="15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Déployé sur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CreditToken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Gère la création et le transfert des jetons ERC20.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ERC20 standard (OpenZeppelin)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Hedera HSCS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UserAuth (IBA)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Gère l’inscription, la connexion, les crédits et la réputation des utilisateurs.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 applicatif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Hedera HSCS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Ces deux contrats interagissent via l’adresse du CreditToken, transmise au constructeur du UserAuth lors du déploiement.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Flux d’interaction entre les contrats</w:t>
      </w:r>
      <w:r w:rsidDel="00000000" w:rsidR="00000000" w:rsidRPr="00000000">
        <w:rPr>
          <w:rtl w:val="0"/>
        </w:rPr>
      </w:r>
    </w:p>
    <w:tbl>
      <w:tblPr>
        <w:tblStyle w:val="Table14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6"/>
        <w:gridCol w:w="3994"/>
        <w:gridCol w:w="2042"/>
        <w:gridCol w:w="7186"/>
        <w:tblGridChange w:id="0">
          <w:tblGrid>
            <w:gridCol w:w="726"/>
            <w:gridCol w:w="3994"/>
            <w:gridCol w:w="2042"/>
            <w:gridCol w:w="71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Étape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Contrats impliqués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Déploiement de CreditToken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CreditToken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Le jeton CRD est créé et miné pour le déployeur (admin).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Déploiement de UserAuth avec adresse du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UserAuth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L’adresse du CreditToken est passée en paramètre au constructeur 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solidity&lt;br&gt;constructor(address tokenAddress)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Inscription d’un 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UserAuth → CreditToken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Lors de register(), 100 crédits internes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tokens CRD</w:t>
            </w:r>
            <w:r w:rsidDel="00000000" w:rsidR="00000000" w:rsidRPr="00000000">
              <w:rPr>
                <w:rtl w:val="0"/>
              </w:rPr>
              <w:t xml:space="preserve"> sont transférés au nouvel utilisateur.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Connexion / gestion du compte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UserAuth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Vérification du hash du mot de passe, historique de connexion.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Déduction de crédits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UserAuth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Réduit les crédits internes (sans toucher au solde token).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Bannissement / Débannissement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UserAuth (admin)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L’administrateur (déployeur) contrôle les accès utilisateurs.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Liaison technique</w:t>
      </w:r>
    </w:p>
    <w:tbl>
      <w:tblPr>
        <w:tblStyle w:val="Table15"/>
        <w:tblW w:w="127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1426"/>
        <w:gridCol w:w="6187"/>
        <w:tblGridChange w:id="0">
          <w:tblGrid>
            <w:gridCol w:w="5098"/>
            <w:gridCol w:w="1426"/>
            <w:gridCol w:w="61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ERC20 public creditToken;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UserAuth.sol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Instance du contrat CreditToken utilisée pour les transferts.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creditToken.transfer(msg.sender, 100 * 10 ** 18);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register()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Appel direct au contrat ERC20 pour attribuer 100 CRD.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checkTargetAddressTokenBalance()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UserAuth.sol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Lecture du solde d’un compte externe sur le contrat CRD.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Gestion des rôles et sécurité</w:t>
      </w:r>
    </w:p>
    <w:tbl>
      <w:tblPr>
        <w:tblStyle w:val="Table16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6"/>
        <w:gridCol w:w="6675"/>
        <w:gridCol w:w="5197"/>
        <w:tblGridChange w:id="0">
          <w:tblGrid>
            <w:gridCol w:w="2076"/>
            <w:gridCol w:w="6675"/>
            <w:gridCol w:w="51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(Déployeur)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Peut bannir/débannir des comptes, consulter les infos globales.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Défini automatiquement lors du déploiement (msg.sender).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Peut s’inscrire, se connecter, demander des crédits, changer son mot de passe.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Restreint par le modificateur notBanned.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 CreditToken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Agit comme source de tokens CRD.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Ne gère aucune logique utilisateur.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🌐</w:t>
      </w:r>
      <w:r w:rsidDel="00000000" w:rsidR="00000000" w:rsidRPr="00000000">
        <w:rPr>
          <w:b w:val="1"/>
          <w:bCs w:val="1"/>
          <w:rtl w:val="0"/>
        </w:rPr>
        <w:t xml:space="preserve"> Détails réseau (Hedera)</w:t>
      </w:r>
    </w:p>
    <w:tbl>
      <w:tblPr>
        <w:tblStyle w:val="Table17"/>
        <w:tblW w:w="6724.0" w:type="dxa"/>
        <w:jc w:val="left"/>
        <w:tblLayout w:type="fixed"/>
        <w:tblLook w:val="0400"/>
      </w:tblPr>
      <w:tblGrid>
        <w:gridCol w:w="3437"/>
        <w:gridCol w:w="3287"/>
        <w:tblGridChange w:id="0">
          <w:tblGrid>
            <w:gridCol w:w="3437"/>
            <w:gridCol w:w="32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 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 (exemple)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Réseau 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Hedera Smart Contract 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Compatibilité 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EVM (Solidity 0.8.x)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 Token (CreditToken) 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0.0.7129562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 Utilisateur (UserAuth) 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0.0.7137887</w:t>
            </w:r>
          </w:p>
        </w:tc>
      </w:tr>
    </w:tbl>
    <w:p w:rsidR="00000000" w:rsidDel="00000000" w:rsidP="00000000" w:rsidRDefault="00000000" w:rsidRPr="00000000" w14:paraId="000001D1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Deployer :  </w:t>
      </w:r>
    </w:p>
    <w:tbl>
      <w:tblPr>
        <w:tblStyle w:val="Table18"/>
        <w:tblW w:w="7961.0" w:type="dxa"/>
        <w:jc w:val="left"/>
        <w:tblLayout w:type="fixed"/>
        <w:tblLook w:val="0400"/>
      </w:tblPr>
      <w:tblGrid>
        <w:gridCol w:w="7961"/>
        <w:tblGridChange w:id="0">
          <w:tblGrid>
            <w:gridCol w:w="796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0x08a5b2500742b452f8e4ce60a3afaa96dcdd7a1b (UserAuth)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0x0932c157d51c1a8b1df86de7a4cef9033567f684 (CreditToken)</w:t>
      </w:r>
    </w:p>
    <w:p w:rsidR="00000000" w:rsidDel="00000000" w:rsidP="00000000" w:rsidRDefault="00000000" w:rsidRPr="00000000" w14:paraId="000001D5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Résumé du lien logique</w:t>
      </w:r>
    </w:p>
    <w:tbl>
      <w:tblPr>
        <w:tblStyle w:val="Table19"/>
        <w:tblW w:w="90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20"/>
        <w:gridCol w:w="1505"/>
        <w:gridCol w:w="2626"/>
        <w:tblGridChange w:id="0">
          <w:tblGrid>
            <w:gridCol w:w="4920"/>
            <w:gridCol w:w="1505"/>
            <w:gridCol w:w="26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 du système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Dépendance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Création du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CreditToken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Stockage des comptes utilisateurs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UserAuth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Attribution de tokens aux nouveaux utilisateurs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UserAuth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CreditToken.transfer()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Vérification du solde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UserAuth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CreditToken.balanceOf()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et sécurité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UserAuth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interne (owner)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En bref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Le système </w:t>
      </w:r>
      <w:r w:rsidDel="00000000" w:rsidR="00000000" w:rsidRPr="00000000">
        <w:rPr>
          <w:b w:val="1"/>
          <w:bCs w:val="1"/>
          <w:rtl w:val="0"/>
        </w:rPr>
        <w:t xml:space="preserve">IBA + CreditToken sur Hedera</w:t>
      </w:r>
      <w:r w:rsidDel="00000000" w:rsidR="00000000" w:rsidRPr="00000000">
        <w:rPr>
          <w:rtl w:val="0"/>
        </w:rPr>
        <w:t xml:space="preserve"> forme une architecture complète :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CreditToken</w:t>
      </w:r>
      <w:r w:rsidDel="00000000" w:rsidR="00000000" w:rsidRPr="00000000">
        <w:rPr>
          <w:rtl w:val="0"/>
        </w:rPr>
        <w:t xml:space="preserve"> = composant monétaire (ERC20 CRD)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UserAuth</w:t>
      </w:r>
      <w:r w:rsidDel="00000000" w:rsidR="00000000" w:rsidRPr="00000000">
        <w:rPr>
          <w:rtl w:val="0"/>
        </w:rPr>
        <w:t xml:space="preserve"> = composant applicatif et identitaire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Ensemble, ils permettent :</w:t>
      </w:r>
    </w:p>
    <w:p w:rsidR="00000000" w:rsidDel="00000000" w:rsidP="00000000" w:rsidRDefault="00000000" w:rsidRPr="00000000" w14:paraId="000001E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gestion décentralisée des identités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système d’incitation via tokens CRD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interopérabilité totale</w:t>
      </w:r>
      <w:r w:rsidDel="00000000" w:rsidR="00000000" w:rsidRPr="00000000">
        <w:rPr>
          <w:rtl w:val="0"/>
        </w:rPr>
        <w:t xml:space="preserve"> avec Hedera et les DApps compatibles EVM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1440"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Crédits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Rédigé et réalisé par @rocker_bell – Anass Tantane pour le Hedera Hackathon 2025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C1EE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C1EE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C1EE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C1EE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C1EE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C1EE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C1EE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C1EE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C1EE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C1EE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C1EE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C1EE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C1EE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C1EE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C1EE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C1EE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C1EE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C1EE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C1EE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1EE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C1EE4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E160F1"/>
    <w:pPr>
      <w:spacing w:after="0" w:line="240" w:lineRule="auto"/>
    </w:pPr>
    <w:rPr>
      <w:rFonts w:eastAsiaTheme="minorEastAsia"/>
      <w:kern w:val="0"/>
      <w:sz w:val="22"/>
      <w:szCs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E160F1"/>
    <w:rPr>
      <w:rFonts w:eastAsiaTheme="minorEastAsia"/>
      <w:kern w:val="0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 w:val="1"/>
    <w:rsid w:val="00E16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160F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qqFN/QuBGihNQFSI+cUGOLZrA==">CgMxLjA4AHIhMXYzR3NQbDM5UDFKTlNSeG1naEd4ZE5WeUhDTzBjTW9N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2025-10-29T21:58:00Z</dcterms:created>
  <dc:creator>rocker bell</dc:creator>
</cp:coreProperties>
</file>