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95" w:rsidRDefault="00424A95" w:rsidP="00424A95">
      <w:pPr>
        <w:jc w:val="center"/>
        <w:rPr>
          <w:b/>
          <w:sz w:val="24"/>
        </w:rPr>
      </w:pPr>
      <w:r w:rsidRPr="006602B4">
        <w:rPr>
          <w:b/>
          <w:sz w:val="24"/>
        </w:rPr>
        <w:t xml:space="preserve">Lista de </w:t>
      </w:r>
      <w:r w:rsidR="000D0F5A">
        <w:rPr>
          <w:b/>
          <w:sz w:val="24"/>
        </w:rPr>
        <w:t>Chequeo</w:t>
      </w:r>
      <w:r w:rsidRPr="006602B4">
        <w:rPr>
          <w:b/>
          <w:sz w:val="24"/>
        </w:rPr>
        <w:t xml:space="preserve"> de </w:t>
      </w:r>
      <w:r>
        <w:rPr>
          <w:b/>
          <w:sz w:val="24"/>
        </w:rPr>
        <w:t>Código</w:t>
      </w:r>
      <w:r w:rsidR="00085E76">
        <w:rPr>
          <w:b/>
          <w:sz w:val="24"/>
        </w:rPr>
        <w:t xml:space="preserve"> PSP</w:t>
      </w:r>
    </w:p>
    <w:p w:rsidR="00085E76" w:rsidRDefault="00085E76" w:rsidP="00085E76"/>
    <w:p w:rsidR="008D34B5" w:rsidRDefault="008D34B5" w:rsidP="008D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18"/>
        </w:rPr>
      </w:pPr>
      <w:r>
        <w:rPr>
          <w:color w:val="1F497D" w:themeColor="text2"/>
          <w:sz w:val="18"/>
        </w:rPr>
        <w:t>N</w:t>
      </w:r>
      <w:r w:rsidRPr="008D34B5">
        <w:rPr>
          <w:color w:val="1F497D" w:themeColor="text2"/>
          <w:sz w:val="18"/>
        </w:rPr>
        <w:t xml:space="preserve">o </w:t>
      </w:r>
      <w:r>
        <w:rPr>
          <w:color w:val="1F497D" w:themeColor="text2"/>
          <w:sz w:val="18"/>
        </w:rPr>
        <w:t>revise</w:t>
      </w:r>
      <w:r w:rsidRPr="008D34B5">
        <w:rPr>
          <w:color w:val="1F497D" w:themeColor="text2"/>
          <w:sz w:val="18"/>
        </w:rPr>
        <w:t xml:space="preserve"> más de una categoría al tiempo. </w:t>
      </w:r>
    </w:p>
    <w:p w:rsidR="008D34B5" w:rsidRDefault="008D34B5" w:rsidP="008D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18"/>
        </w:rPr>
      </w:pPr>
      <w:r>
        <w:rPr>
          <w:color w:val="1F497D" w:themeColor="text2"/>
          <w:sz w:val="18"/>
        </w:rPr>
        <w:t xml:space="preserve">La respuesta puede ser: </w:t>
      </w:r>
      <w:r>
        <w:rPr>
          <w:b/>
          <w:color w:val="1F497D" w:themeColor="text2"/>
          <w:sz w:val="18"/>
        </w:rPr>
        <w:t xml:space="preserve">Sí </w:t>
      </w:r>
      <w:r>
        <w:rPr>
          <w:color w:val="1F497D" w:themeColor="text2"/>
          <w:sz w:val="18"/>
        </w:rPr>
        <w:t xml:space="preserve">(cuando cumple), </w:t>
      </w:r>
      <w:r>
        <w:rPr>
          <w:b/>
          <w:color w:val="1F497D" w:themeColor="text2"/>
          <w:sz w:val="18"/>
        </w:rPr>
        <w:t>No</w:t>
      </w:r>
      <w:r>
        <w:rPr>
          <w:color w:val="1F497D" w:themeColor="text2"/>
          <w:sz w:val="18"/>
        </w:rPr>
        <w:t xml:space="preserve"> (cuando no cumple) o N.A. (no aplica).</w:t>
      </w:r>
    </w:p>
    <w:p w:rsidR="008D34B5" w:rsidRDefault="008D34B5" w:rsidP="008D3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18"/>
        </w:rPr>
      </w:pPr>
      <w:r>
        <w:rPr>
          <w:color w:val="1F497D" w:themeColor="text2"/>
          <w:sz w:val="18"/>
        </w:rPr>
        <w:t>Se tiene una columna para cada revisión que se realice (se pueden adicionar más si es necesario).</w:t>
      </w:r>
    </w:p>
    <w:p w:rsidR="008D34B5" w:rsidRDefault="008D34B5" w:rsidP="00085E76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8270"/>
        <w:gridCol w:w="597"/>
        <w:gridCol w:w="597"/>
      </w:tblGrid>
      <w:tr w:rsidR="008D34B5" w:rsidRPr="00623F92" w:rsidTr="008D34B5">
        <w:tc>
          <w:tcPr>
            <w:tcW w:w="8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34B5" w:rsidRPr="00623F92" w:rsidRDefault="008D34B5" w:rsidP="00FE297A">
            <w:pPr>
              <w:jc w:val="center"/>
              <w:rPr>
                <w:b/>
                <w:sz w:val="18"/>
              </w:rPr>
            </w:pPr>
          </w:p>
        </w:tc>
        <w:tc>
          <w:tcPr>
            <w:tcW w:w="503" w:type="dxa"/>
            <w:tcBorders>
              <w:left w:val="single" w:sz="4" w:space="0" w:color="auto"/>
            </w:tcBorders>
          </w:tcPr>
          <w:p w:rsidR="008D34B5" w:rsidRPr="00623F92" w:rsidRDefault="008D34B5" w:rsidP="00FE297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Rev. 1</w:t>
            </w:r>
          </w:p>
        </w:tc>
        <w:tc>
          <w:tcPr>
            <w:tcW w:w="597" w:type="dxa"/>
          </w:tcPr>
          <w:p w:rsidR="008D34B5" w:rsidRPr="00623F92" w:rsidRDefault="008D34B5" w:rsidP="00FE297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Rev. 2</w:t>
            </w:r>
          </w:p>
        </w:tc>
      </w:tr>
    </w:tbl>
    <w:p w:rsidR="008D34B5" w:rsidRDefault="008D34B5" w:rsidP="00085E76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607"/>
        <w:gridCol w:w="6752"/>
        <w:gridCol w:w="567"/>
        <w:gridCol w:w="567"/>
      </w:tblGrid>
      <w:tr w:rsidR="008D34B5" w:rsidRPr="00A635C9" w:rsidTr="008D34B5">
        <w:tc>
          <w:tcPr>
            <w:tcW w:w="1607" w:type="dxa"/>
            <w:vMerge w:val="restart"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Completo</w:t>
            </w:r>
          </w:p>
        </w:tc>
        <w:tc>
          <w:tcPr>
            <w:tcW w:w="6752" w:type="dxa"/>
          </w:tcPr>
          <w:p w:rsidR="008D34B5" w:rsidRPr="008D34B5" w:rsidRDefault="008D34B5" w:rsidP="008D34B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Las clases e interfaces en el código son las mismas definidas en el diseño</w:t>
            </w:r>
          </w:p>
        </w:tc>
        <w:tc>
          <w:tcPr>
            <w:tcW w:w="567" w:type="dxa"/>
          </w:tcPr>
          <w:p w:rsidR="008D34B5" w:rsidRPr="0030375F" w:rsidRDefault="00D26887" w:rsidP="00A635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  <w:bookmarkStart w:id="0" w:name="_GoBack"/>
            <w:bookmarkEnd w:id="0"/>
          </w:p>
        </w:tc>
        <w:tc>
          <w:tcPr>
            <w:tcW w:w="567" w:type="dxa"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752" w:type="dxa"/>
          </w:tcPr>
          <w:p w:rsidR="008D34B5" w:rsidRDefault="008D34B5" w:rsidP="008D34B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atributos corresponden, en </w:t>
            </w:r>
            <w:r w:rsidR="000A5BAD">
              <w:rPr>
                <w:rFonts w:cs="Arial"/>
                <w:sz w:val="20"/>
                <w:szCs w:val="20"/>
              </w:rPr>
              <w:t xml:space="preserve">visibilidad, </w:t>
            </w:r>
            <w:r>
              <w:rPr>
                <w:rFonts w:cs="Arial"/>
                <w:sz w:val="20"/>
                <w:szCs w:val="20"/>
              </w:rPr>
              <w:t>nombre y tipo de dato, a lo que está en el diseño. Esto incluye los atributos dados por las asociaciones</w:t>
            </w:r>
          </w:p>
        </w:tc>
        <w:tc>
          <w:tcPr>
            <w:tcW w:w="567" w:type="dxa"/>
          </w:tcPr>
          <w:p w:rsidR="008D34B5" w:rsidRPr="0030375F" w:rsidRDefault="00D26887" w:rsidP="00A635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  <w:tc>
          <w:tcPr>
            <w:tcW w:w="567" w:type="dxa"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752" w:type="dxa"/>
          </w:tcPr>
          <w:p w:rsidR="008D34B5" w:rsidRDefault="008D34B5" w:rsidP="008D34B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Los encabezados de los métodos corresponden, con su</w:t>
            </w:r>
            <w:r w:rsidR="000A5BAD">
              <w:rPr>
                <w:rFonts w:cs="Arial"/>
                <w:sz w:val="20"/>
                <w:szCs w:val="20"/>
              </w:rPr>
              <w:t xml:space="preserve"> visibilidad,</w:t>
            </w:r>
            <w:r>
              <w:rPr>
                <w:rFonts w:cs="Arial"/>
                <w:sz w:val="20"/>
                <w:szCs w:val="20"/>
              </w:rPr>
              <w:t xml:space="preserve"> nombre, parámetros y tipo de retorno, a lo que está en el diseño</w:t>
            </w:r>
          </w:p>
        </w:tc>
        <w:tc>
          <w:tcPr>
            <w:tcW w:w="567" w:type="dxa"/>
          </w:tcPr>
          <w:p w:rsidR="008D34B5" w:rsidRPr="0030375F" w:rsidRDefault="00D26887" w:rsidP="00A635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  <w:tc>
          <w:tcPr>
            <w:tcW w:w="567" w:type="dxa"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752" w:type="dxa"/>
          </w:tcPr>
          <w:p w:rsidR="008D34B5" w:rsidRDefault="008D34B5" w:rsidP="008D34B5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 xml:space="preserve">Cada método </w:t>
            </w:r>
            <w:r>
              <w:rPr>
                <w:rFonts w:cs="Arial"/>
                <w:sz w:val="20"/>
                <w:szCs w:val="20"/>
              </w:rPr>
              <w:t>tiene</w:t>
            </w:r>
            <w:r w:rsidRPr="0030375F">
              <w:rPr>
                <w:rFonts w:cs="Arial"/>
                <w:sz w:val="20"/>
                <w:szCs w:val="20"/>
              </w:rPr>
              <w:t xml:space="preserve"> la lógica definida en </w:t>
            </w:r>
            <w:r>
              <w:rPr>
                <w:rFonts w:cs="Arial"/>
                <w:sz w:val="20"/>
                <w:szCs w:val="20"/>
              </w:rPr>
              <w:t xml:space="preserve">el diagrama de secuencia o en </w:t>
            </w:r>
            <w:r w:rsidRPr="0030375F">
              <w:rPr>
                <w:rFonts w:cs="Arial"/>
                <w:sz w:val="20"/>
                <w:szCs w:val="20"/>
              </w:rPr>
              <w:t>su correspondiente especificación (lo que aplique)</w:t>
            </w:r>
          </w:p>
        </w:tc>
        <w:tc>
          <w:tcPr>
            <w:tcW w:w="567" w:type="dxa"/>
          </w:tcPr>
          <w:p w:rsidR="008D34B5" w:rsidRPr="0030375F" w:rsidRDefault="00D26887" w:rsidP="00A635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</w:t>
            </w:r>
          </w:p>
        </w:tc>
        <w:tc>
          <w:tcPr>
            <w:tcW w:w="567" w:type="dxa"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752" w:type="dxa"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8D34B5" w:rsidRPr="0030375F" w:rsidRDefault="008D34B5" w:rsidP="00A635C9">
            <w:pPr>
              <w:rPr>
                <w:rFonts w:cs="Arial"/>
                <w:sz w:val="20"/>
                <w:szCs w:val="20"/>
              </w:rPr>
            </w:pPr>
          </w:p>
        </w:tc>
      </w:tr>
      <w:tr w:rsidR="008D34B5" w:rsidRPr="00A635C9" w:rsidTr="008D34B5">
        <w:tc>
          <w:tcPr>
            <w:tcW w:w="1607" w:type="dxa"/>
            <w:vMerge w:val="restart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  <w:r w:rsidRPr="0030375F">
              <w:rPr>
                <w:rFonts w:cs="Arial"/>
                <w:sz w:val="20"/>
                <w:szCs w:val="20"/>
                <w:lang w:val="es-MX"/>
              </w:rPr>
              <w:t>Semántica</w:t>
            </w:r>
          </w:p>
        </w:tc>
        <w:tc>
          <w:tcPr>
            <w:tcW w:w="6752" w:type="dxa"/>
          </w:tcPr>
          <w:p w:rsidR="008D34B5" w:rsidRPr="0030375F" w:rsidRDefault="008D34B5" w:rsidP="000A5BAD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 xml:space="preserve">Todos los atributos y las variables </w:t>
            </w:r>
            <w:r>
              <w:rPr>
                <w:rFonts w:cs="Arial"/>
                <w:sz w:val="20"/>
                <w:szCs w:val="20"/>
              </w:rPr>
              <w:t xml:space="preserve">se inicializan apropiadamente 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0A5BAD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 xml:space="preserve">Cada ciclo </w:t>
            </w:r>
            <w:r>
              <w:rPr>
                <w:rFonts w:cs="Arial"/>
                <w:sz w:val="20"/>
                <w:szCs w:val="20"/>
              </w:rPr>
              <w:t xml:space="preserve">o método recursivo </w:t>
            </w:r>
            <w:r w:rsidRPr="0030375F">
              <w:rPr>
                <w:rFonts w:cs="Arial"/>
                <w:sz w:val="20"/>
                <w:szCs w:val="20"/>
              </w:rPr>
              <w:t>tiene condici</w:t>
            </w:r>
            <w:r w:rsidR="000A5BAD">
              <w:rPr>
                <w:rFonts w:cs="Arial"/>
                <w:sz w:val="20"/>
                <w:szCs w:val="20"/>
              </w:rPr>
              <w:t xml:space="preserve">ones de inicio y de </w:t>
            </w:r>
            <w:r w:rsidRPr="0030375F">
              <w:rPr>
                <w:rFonts w:cs="Arial"/>
                <w:sz w:val="20"/>
                <w:szCs w:val="20"/>
              </w:rPr>
              <w:t>finalización correcta</w:t>
            </w:r>
            <w:r w:rsidR="000A5BAD">
              <w:rPr>
                <w:rFonts w:cs="Arial"/>
                <w:sz w:val="20"/>
                <w:szCs w:val="20"/>
              </w:rPr>
              <w:t>s (para la funcionalidad requerida)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  <w:r w:rsidRPr="0030375F">
              <w:rPr>
                <w:rFonts w:cs="Arial"/>
                <w:sz w:val="20"/>
                <w:szCs w:val="20"/>
              </w:rPr>
              <w:t>El uso de &gt;, &gt;=, &lt;, &lt;=, II, &amp;&amp; corresponde a lo requerido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587E0E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 xml:space="preserve">Se verifican los valores </w:t>
            </w:r>
            <w:r w:rsidR="000A5BAD">
              <w:rPr>
                <w:rFonts w:cs="Arial"/>
                <w:sz w:val="20"/>
                <w:szCs w:val="20"/>
              </w:rPr>
              <w:t xml:space="preserve">que se reciben </w:t>
            </w:r>
            <w:r w:rsidR="00587E0E">
              <w:rPr>
                <w:rFonts w:cs="Arial"/>
                <w:sz w:val="20"/>
                <w:szCs w:val="20"/>
              </w:rPr>
              <w:t>en</w:t>
            </w:r>
            <w:r w:rsidRPr="0030375F">
              <w:rPr>
                <w:rFonts w:cs="Arial"/>
                <w:sz w:val="20"/>
                <w:szCs w:val="20"/>
              </w:rPr>
              <w:t xml:space="preserve"> los parámetros antes de realizar operaciones con ellos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A5BAD" w:rsidRPr="00A635C9" w:rsidTr="008D34B5">
        <w:tc>
          <w:tcPr>
            <w:tcW w:w="1607" w:type="dxa"/>
            <w:vMerge/>
          </w:tcPr>
          <w:p w:rsidR="000A5BAD" w:rsidRPr="0030375F" w:rsidRDefault="000A5BAD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0A5BAD" w:rsidRPr="0030375F" w:rsidRDefault="000A5BAD" w:rsidP="00587E0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valores que se pasan como parámetros a un método corresponden, en significado y orden, a lo que se debe enviar </w:t>
            </w:r>
          </w:p>
        </w:tc>
        <w:tc>
          <w:tcPr>
            <w:tcW w:w="567" w:type="dxa"/>
          </w:tcPr>
          <w:p w:rsidR="000A5BAD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0A5BAD" w:rsidRPr="0030375F" w:rsidRDefault="000A5BAD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Cada</w:t>
            </w:r>
            <w:r w:rsidRPr="0030375F">
              <w:rPr>
                <w:rFonts w:cs="Arial"/>
                <w:sz w:val="20"/>
                <w:szCs w:val="20"/>
              </w:rPr>
              <w:t xml:space="preserve"> método solo maneja las excepciones que puede controlar y las demás las propaga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No</w:t>
            </w:r>
          </w:p>
        </w:tc>
        <w:tc>
          <w:tcPr>
            <w:tcW w:w="567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76457B" w:rsidRDefault="008D34B5" w:rsidP="0076457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Los recursos externos que se abren son cerrados al finalizar su uso (por ejemplo, base de datos, archivos)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567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D34B5" w:rsidRPr="00A635C9" w:rsidTr="008D34B5">
        <w:tc>
          <w:tcPr>
            <w:tcW w:w="1607" w:type="dxa"/>
            <w:vMerge w:val="restart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  <w:r w:rsidRPr="0030375F">
              <w:rPr>
                <w:rFonts w:cs="Arial"/>
                <w:sz w:val="20"/>
                <w:szCs w:val="20"/>
                <w:lang w:val="es-MX"/>
              </w:rPr>
              <w:t>Sintaxis</w:t>
            </w:r>
          </w:p>
        </w:tc>
        <w:tc>
          <w:tcPr>
            <w:tcW w:w="6752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Sólo se tiene una instrucción por línea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paréntesis coinciden en número (abrir y cerrar) y delimitan correctamente las operaciones 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Los identificadores son significativos y siguen los lineamientos</w:t>
            </w:r>
          </w:p>
        </w:tc>
        <w:tc>
          <w:tcPr>
            <w:tcW w:w="567" w:type="dxa"/>
          </w:tcPr>
          <w:p w:rsidR="008D34B5" w:rsidRPr="0030375F" w:rsidRDefault="00D26887" w:rsidP="0030375F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8D34B5" w:rsidP="0030375F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Cada condicional y ciclo tiene el bloque de código demarcado (llaves)</w:t>
            </w:r>
          </w:p>
        </w:tc>
        <w:tc>
          <w:tcPr>
            <w:tcW w:w="567" w:type="dxa"/>
          </w:tcPr>
          <w:p w:rsidR="008D34B5" w:rsidRPr="0030375F" w:rsidRDefault="00D26887" w:rsidP="00C12153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Los bloques de código tienen la sangría definida y las llaves que cierran están alineadas con la instrucción que comienza el bloque.</w:t>
            </w:r>
          </w:p>
        </w:tc>
        <w:tc>
          <w:tcPr>
            <w:tcW w:w="567" w:type="dxa"/>
          </w:tcPr>
          <w:p w:rsidR="008D34B5" w:rsidRPr="0030375F" w:rsidRDefault="00D26887" w:rsidP="00C12153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No</w:t>
            </w:r>
          </w:p>
        </w:tc>
        <w:tc>
          <w:tcPr>
            <w:tcW w:w="567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 xml:space="preserve">Las condiciones y ciclos </w:t>
            </w:r>
            <w:r w:rsidRPr="0030375F">
              <w:rPr>
                <w:rFonts w:cs="Arial"/>
                <w:b/>
                <w:sz w:val="20"/>
                <w:szCs w:val="20"/>
              </w:rPr>
              <w:t>no</w:t>
            </w:r>
            <w:r w:rsidRPr="0030375F">
              <w:rPr>
                <w:rFonts w:cs="Arial"/>
                <w:sz w:val="20"/>
                <w:szCs w:val="20"/>
              </w:rPr>
              <w:t xml:space="preserve"> terminan en punto y coma </w:t>
            </w:r>
          </w:p>
        </w:tc>
        <w:tc>
          <w:tcPr>
            <w:tcW w:w="567" w:type="dxa"/>
          </w:tcPr>
          <w:p w:rsidR="008D34B5" w:rsidRPr="0030375F" w:rsidRDefault="00D26887" w:rsidP="00C12153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Si</w:t>
            </w:r>
          </w:p>
        </w:tc>
        <w:tc>
          <w:tcPr>
            <w:tcW w:w="567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8D34B5" w:rsidRPr="00A635C9" w:rsidTr="008D34B5">
        <w:tc>
          <w:tcPr>
            <w:tcW w:w="1607" w:type="dxa"/>
            <w:vMerge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567" w:type="dxa"/>
          </w:tcPr>
          <w:p w:rsidR="008D34B5" w:rsidRPr="0030375F" w:rsidRDefault="008D34B5" w:rsidP="00C12153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A5BAD" w:rsidRPr="00A635C9" w:rsidTr="008D34B5">
        <w:tc>
          <w:tcPr>
            <w:tcW w:w="160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Documentación</w:t>
            </w:r>
          </w:p>
        </w:tc>
        <w:tc>
          <w:tcPr>
            <w:tcW w:w="6752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Cada cl</w:t>
            </w:r>
            <w:r>
              <w:rPr>
                <w:rFonts w:cs="Arial"/>
                <w:sz w:val="20"/>
                <w:szCs w:val="20"/>
              </w:rPr>
              <w:t>ase está documentada, e incluye d</w:t>
            </w:r>
            <w:r w:rsidRPr="0030375F">
              <w:rPr>
                <w:rFonts w:cs="Arial"/>
                <w:sz w:val="20"/>
                <w:szCs w:val="20"/>
              </w:rPr>
              <w:t>escripción de la clase</w:t>
            </w:r>
            <w:r>
              <w:rPr>
                <w:rFonts w:cs="Arial"/>
                <w:sz w:val="20"/>
                <w:szCs w:val="20"/>
              </w:rPr>
              <w:t>, a</w:t>
            </w:r>
            <w:r w:rsidRPr="0030375F">
              <w:rPr>
                <w:rFonts w:cs="Arial"/>
                <w:sz w:val="20"/>
                <w:szCs w:val="20"/>
              </w:rPr>
              <w:t>utor</w:t>
            </w:r>
            <w:r>
              <w:rPr>
                <w:rFonts w:cs="Arial"/>
                <w:sz w:val="20"/>
                <w:szCs w:val="20"/>
              </w:rPr>
              <w:t xml:space="preserve"> y v</w:t>
            </w:r>
            <w:r w:rsidRPr="0030375F">
              <w:rPr>
                <w:rFonts w:cs="Arial"/>
                <w:sz w:val="20"/>
                <w:szCs w:val="20"/>
              </w:rPr>
              <w:t>ersión o fecha</w:t>
            </w:r>
          </w:p>
        </w:tc>
        <w:tc>
          <w:tcPr>
            <w:tcW w:w="567" w:type="dxa"/>
          </w:tcPr>
          <w:p w:rsidR="000A5BAD" w:rsidRPr="0030375F" w:rsidRDefault="00D26887" w:rsidP="000A5BA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  <w:tc>
          <w:tcPr>
            <w:tcW w:w="56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</w:rPr>
            </w:pPr>
          </w:p>
        </w:tc>
      </w:tr>
      <w:tr w:rsidR="000A5BAD" w:rsidRPr="00A635C9" w:rsidTr="008D34B5">
        <w:tc>
          <w:tcPr>
            <w:tcW w:w="160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752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</w:rPr>
            </w:pPr>
            <w:r w:rsidRPr="0030375F">
              <w:rPr>
                <w:rFonts w:cs="Arial"/>
                <w:sz w:val="20"/>
                <w:szCs w:val="20"/>
              </w:rPr>
              <w:t>Cada método está documentado</w:t>
            </w:r>
            <w:r>
              <w:rPr>
                <w:rFonts w:cs="Arial"/>
                <w:sz w:val="20"/>
                <w:szCs w:val="20"/>
              </w:rPr>
              <w:t>, incluyendo: d</w:t>
            </w:r>
            <w:r w:rsidRPr="0030375F">
              <w:rPr>
                <w:rFonts w:cs="Arial"/>
                <w:sz w:val="20"/>
                <w:szCs w:val="20"/>
              </w:rPr>
              <w:t>escripción</w:t>
            </w:r>
            <w:r>
              <w:rPr>
                <w:rFonts w:cs="Arial"/>
                <w:sz w:val="20"/>
                <w:szCs w:val="20"/>
              </w:rPr>
              <w:t>, p</w:t>
            </w:r>
            <w:r w:rsidRPr="0030375F">
              <w:rPr>
                <w:rFonts w:cs="Arial"/>
                <w:sz w:val="20"/>
                <w:szCs w:val="20"/>
              </w:rPr>
              <w:t>arámetros de entrada</w:t>
            </w:r>
            <w:r>
              <w:rPr>
                <w:rFonts w:cs="Arial"/>
                <w:sz w:val="20"/>
                <w:szCs w:val="20"/>
              </w:rPr>
              <w:t>, s</w:t>
            </w:r>
            <w:r w:rsidRPr="0030375F">
              <w:rPr>
                <w:rFonts w:cs="Arial"/>
                <w:sz w:val="20"/>
                <w:szCs w:val="20"/>
              </w:rPr>
              <w:t>alida (retorno)</w:t>
            </w:r>
            <w:r>
              <w:rPr>
                <w:rFonts w:cs="Arial"/>
                <w:sz w:val="20"/>
                <w:szCs w:val="20"/>
              </w:rPr>
              <w:t xml:space="preserve"> y e</w:t>
            </w:r>
            <w:r w:rsidRPr="0030375F">
              <w:rPr>
                <w:rFonts w:cs="Arial"/>
                <w:sz w:val="20"/>
                <w:szCs w:val="20"/>
              </w:rPr>
              <w:t>xcepciones</w:t>
            </w:r>
          </w:p>
        </w:tc>
        <w:tc>
          <w:tcPr>
            <w:tcW w:w="567" w:type="dxa"/>
          </w:tcPr>
          <w:p w:rsidR="000A5BAD" w:rsidRPr="0030375F" w:rsidRDefault="00D26887" w:rsidP="000A5BA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</w:t>
            </w:r>
          </w:p>
        </w:tc>
        <w:tc>
          <w:tcPr>
            <w:tcW w:w="56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</w:rPr>
            </w:pPr>
          </w:p>
        </w:tc>
      </w:tr>
      <w:tr w:rsidR="000A5BAD" w:rsidRPr="00A635C9" w:rsidTr="008D34B5">
        <w:tc>
          <w:tcPr>
            <w:tcW w:w="160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  <w:lang w:val="es-MX"/>
              </w:rPr>
            </w:pPr>
            <w:r w:rsidRPr="0030375F">
              <w:rPr>
                <w:rFonts w:cs="Arial"/>
                <w:sz w:val="20"/>
                <w:szCs w:val="20"/>
                <w:lang w:val="es-MX"/>
              </w:rPr>
              <w:t xml:space="preserve">La documentación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existente </w:t>
            </w:r>
            <w:r w:rsidRPr="0030375F">
              <w:rPr>
                <w:rFonts w:cs="Arial"/>
                <w:sz w:val="20"/>
                <w:szCs w:val="20"/>
                <w:lang w:val="es-MX"/>
              </w:rPr>
              <w:t>es clara y suficiente</w:t>
            </w:r>
          </w:p>
        </w:tc>
        <w:tc>
          <w:tcPr>
            <w:tcW w:w="567" w:type="dxa"/>
          </w:tcPr>
          <w:p w:rsidR="000A5BAD" w:rsidRPr="0030375F" w:rsidRDefault="00D26887" w:rsidP="000A5BAD">
            <w:pPr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No</w:t>
            </w:r>
          </w:p>
        </w:tc>
        <w:tc>
          <w:tcPr>
            <w:tcW w:w="56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A5BAD" w:rsidRPr="00A635C9" w:rsidTr="008D34B5">
        <w:tc>
          <w:tcPr>
            <w:tcW w:w="160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6752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56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567" w:type="dxa"/>
          </w:tcPr>
          <w:p w:rsidR="000A5BAD" w:rsidRPr="0030375F" w:rsidRDefault="000A5BAD" w:rsidP="000A5BAD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</w:tbl>
    <w:p w:rsidR="00EC6F47" w:rsidRDefault="00EC6F47" w:rsidP="0030375F"/>
    <w:p w:rsidR="00D26887" w:rsidRDefault="00D26887" w:rsidP="0030375F"/>
    <w:p w:rsidR="00D26887" w:rsidRPr="00A635C9" w:rsidRDefault="00D26887" w:rsidP="0030375F">
      <w:r>
        <w:t xml:space="preserve">Se ha tenido problemas con la documentación de código en el repositorio de Github, al parecer por archivos de cada desarrollador que se suben automáticamente desde los </w:t>
      </w:r>
      <w:proofErr w:type="spellStart"/>
      <w:r>
        <w:t>pcs</w:t>
      </w:r>
      <w:proofErr w:type="spellEnd"/>
      <w:r>
        <w:t xml:space="preserve"> locales, se creó una segunda versión en la que se mejoró este proceso de control de versiones</w:t>
      </w:r>
    </w:p>
    <w:sectPr w:rsidR="00D26887" w:rsidRPr="00A635C9" w:rsidSect="0030375F">
      <w:pgSz w:w="12240" w:h="15840" w:code="1"/>
      <w:pgMar w:top="1253" w:right="1411" w:bottom="1152" w:left="1411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6549C"/>
    <w:multiLevelType w:val="hybridMultilevel"/>
    <w:tmpl w:val="7D6ACD8C"/>
    <w:lvl w:ilvl="0" w:tplc="115AFB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4B67"/>
    <w:multiLevelType w:val="hybridMultilevel"/>
    <w:tmpl w:val="5630CBB2"/>
    <w:lvl w:ilvl="0" w:tplc="A9D01E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D146A"/>
    <w:multiLevelType w:val="hybridMultilevel"/>
    <w:tmpl w:val="99A6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E0563"/>
    <w:multiLevelType w:val="hybridMultilevel"/>
    <w:tmpl w:val="2CCC0EC4"/>
    <w:lvl w:ilvl="0" w:tplc="BF9C78A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10150E"/>
    <w:multiLevelType w:val="hybridMultilevel"/>
    <w:tmpl w:val="295886D6"/>
    <w:lvl w:ilvl="0" w:tplc="35A69088">
      <w:numFmt w:val="bullet"/>
      <w:lvlText w:val="-"/>
      <w:lvlJc w:val="left"/>
      <w:pPr>
        <w:ind w:left="70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F6465"/>
    <w:multiLevelType w:val="hybridMultilevel"/>
    <w:tmpl w:val="2E12E926"/>
    <w:lvl w:ilvl="0" w:tplc="50DEE6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75189"/>
    <w:multiLevelType w:val="hybridMultilevel"/>
    <w:tmpl w:val="4962A2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96"/>
    <w:rsid w:val="000102B6"/>
    <w:rsid w:val="000442A9"/>
    <w:rsid w:val="0006705E"/>
    <w:rsid w:val="00075676"/>
    <w:rsid w:val="00085E76"/>
    <w:rsid w:val="000A5BAD"/>
    <w:rsid w:val="000A75BB"/>
    <w:rsid w:val="000B5061"/>
    <w:rsid w:val="000B7E08"/>
    <w:rsid w:val="000D0F5A"/>
    <w:rsid w:val="00110258"/>
    <w:rsid w:val="00151B89"/>
    <w:rsid w:val="001A781E"/>
    <w:rsid w:val="001E2E96"/>
    <w:rsid w:val="001F3903"/>
    <w:rsid w:val="00210727"/>
    <w:rsid w:val="00263B83"/>
    <w:rsid w:val="00273B6C"/>
    <w:rsid w:val="002763FB"/>
    <w:rsid w:val="002855EC"/>
    <w:rsid w:val="002B1363"/>
    <w:rsid w:val="002C755F"/>
    <w:rsid w:val="002F4691"/>
    <w:rsid w:val="0030375F"/>
    <w:rsid w:val="00310006"/>
    <w:rsid w:val="00383C2E"/>
    <w:rsid w:val="003B527C"/>
    <w:rsid w:val="003C317B"/>
    <w:rsid w:val="003F14BA"/>
    <w:rsid w:val="00424A95"/>
    <w:rsid w:val="00491277"/>
    <w:rsid w:val="004F6A98"/>
    <w:rsid w:val="005266D7"/>
    <w:rsid w:val="005452FF"/>
    <w:rsid w:val="00587E0E"/>
    <w:rsid w:val="005C666D"/>
    <w:rsid w:val="006343FA"/>
    <w:rsid w:val="006602B4"/>
    <w:rsid w:val="00676392"/>
    <w:rsid w:val="006D1039"/>
    <w:rsid w:val="006F014A"/>
    <w:rsid w:val="00723B5D"/>
    <w:rsid w:val="0076457B"/>
    <w:rsid w:val="007767C2"/>
    <w:rsid w:val="00781408"/>
    <w:rsid w:val="007A69E0"/>
    <w:rsid w:val="007C3A69"/>
    <w:rsid w:val="007F59BC"/>
    <w:rsid w:val="0087468E"/>
    <w:rsid w:val="00884448"/>
    <w:rsid w:val="00884FAD"/>
    <w:rsid w:val="00896F25"/>
    <w:rsid w:val="008C72F9"/>
    <w:rsid w:val="008D0374"/>
    <w:rsid w:val="008D34B5"/>
    <w:rsid w:val="008E22D2"/>
    <w:rsid w:val="00A02588"/>
    <w:rsid w:val="00A13FA9"/>
    <w:rsid w:val="00A40A96"/>
    <w:rsid w:val="00A635C9"/>
    <w:rsid w:val="00A65D96"/>
    <w:rsid w:val="00AA5B52"/>
    <w:rsid w:val="00B018AC"/>
    <w:rsid w:val="00B7159A"/>
    <w:rsid w:val="00B87C7A"/>
    <w:rsid w:val="00BB2E47"/>
    <w:rsid w:val="00BC52C7"/>
    <w:rsid w:val="00BF0F85"/>
    <w:rsid w:val="00C12153"/>
    <w:rsid w:val="00C13361"/>
    <w:rsid w:val="00C244E9"/>
    <w:rsid w:val="00C52865"/>
    <w:rsid w:val="00CD624C"/>
    <w:rsid w:val="00D00E99"/>
    <w:rsid w:val="00D26887"/>
    <w:rsid w:val="00D423F4"/>
    <w:rsid w:val="00E21595"/>
    <w:rsid w:val="00E33961"/>
    <w:rsid w:val="00E61216"/>
    <w:rsid w:val="00EB7D4E"/>
    <w:rsid w:val="00EC6F47"/>
    <w:rsid w:val="00ED627E"/>
    <w:rsid w:val="00EE3D9F"/>
    <w:rsid w:val="00F05690"/>
    <w:rsid w:val="00FA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1951B28-91F8-446F-AF97-BA42C1A8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676"/>
    <w:rPr>
      <w:rFonts w:ascii="Arial" w:hAnsi="Arial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24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ListaChequeo</vt:lpstr>
      <vt:lpstr>ListaChequeo</vt:lpstr>
    </vt:vector>
  </TitlesOfParts>
  <Company>Familia Hurtado Gil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ListaChequeo</dc:title>
  <dc:subject/>
  <dc:creator>Sandra Victoria Hurtado Gil</dc:creator>
  <cp:keywords/>
  <dc:description/>
  <cp:lastModifiedBy>Asus</cp:lastModifiedBy>
  <cp:revision>5</cp:revision>
  <dcterms:created xsi:type="dcterms:W3CDTF">2018-05-08T16:16:00Z</dcterms:created>
  <dcterms:modified xsi:type="dcterms:W3CDTF">2019-04-15T01:52:00Z</dcterms:modified>
</cp:coreProperties>
</file>