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WELLNESS WITHIN / PATHWAYS WITHIN</w:t>
      </w:r>
    </w:p>
    <w:p>
      <w:pPr>
        <w:spacing w:after="480"/>
        <w:jc w:val="center"/>
      </w:pPr>
      <w:r>
        <w:rPr>
          <w:color w:val="4a5568"/>
          <w:sz w:val="28"/>
          <w:szCs w:val="28"/>
        </w:rPr>
        <w:t xml:space="preserve">Comprehensive System Requirements for Cursor Development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8ff" w:val="clear"/>
          </w:tcPr>
          <w:p>
            <w:pPr>
              <w:spacing w:before="120" w:after="120"/>
            </w:pPr>
            <w:r>
              <w:rPr>
                <w:b/>
                <w:bCs/>
                <w:color w:val="2b6cb0"/>
                <w:sz w:val="24"/>
                <w:szCs w:val="24"/>
              </w:rPr>
              <w:t xml:space="preserve">EXECUTIVE SUMMARY</w:t>
            </w:r>
          </w:p>
          <w:p>
            <w:pPr>
              <w:spacing w:after="120"/>
            </w:pPr>
            <w:r>
              <w:rPr>
                <w:sz w:val="20"/>
                <w:szCs w:val="20"/>
              </w:rPr>
              <w:t xml:space="preserve">This document defines the complete technical requirements for a mental health and wellness platform serving New York State. It clearly delineates responsibilities between the custom-built platform (Cursor's domain) and Jane EHR (the HIPAA-compliant clinical system). Jane has NO API, so all integration is via iCal feeds and embedded booking widgets.</w:t>
            </w:r>
          </w:p>
          <w:p>
            <w:pPr>
              <w:spacing w:after="60"/>
            </w:pPr>
            <w:r>
              <w:rPr>
                <w:b/>
                <w:bCs/>
                <w:sz w:val="20"/>
                <w:szCs w:val="20"/>
              </w:rPr>
              <w:t xml:space="preserve">Critical Compliance Deadlines:</w:t>
            </w:r>
          </w:p>
          <w:p>
            <w:pPr>
              <w:pStyle w:val="ListParagraph"/>
              <w:numPr>
                <w:ilvl w:val="0"/>
                <w:numId w:val="2"/>
              </w:numPr>
            </w:pPr>
            <w:r>
              <w:rPr>
                <w:sz w:val="20"/>
                <w:szCs w:val="20"/>
              </w:rPr>
              <w:t xml:space="preserve">October 2024: Separate Payment Consent (PHL § 18-c) — IN EFFECT</w:t>
            </w:r>
          </w:p>
          <w:p>
            <w:pPr>
              <w:pStyle w:val="ListParagraph"/>
              <w:numPr>
                <w:ilvl w:val="0"/>
                <w:numId w:val="2"/>
              </w:numPr>
            </w:pPr>
            <w:r>
              <w:rPr>
                <w:sz w:val="20"/>
                <w:szCs w:val="20"/>
              </w:rPr>
              <w:t xml:space="preserve">December 2024: 30-Day Breach Notification — IN EFFECT</w:t>
            </w:r>
          </w:p>
          <w:p>
            <w:pPr>
              <w:pStyle w:val="ListParagraph"/>
              <w:numPr>
                <w:ilvl w:val="0"/>
                <w:numId w:val="2"/>
              </w:numPr>
            </w:pPr>
            <w:r>
              <w:rPr>
                <w:sz w:val="20"/>
                <w:szCs w:val="20"/>
              </w:rPr>
              <w:t xml:space="preserve">April 11, 2025: TCPA 10-Day Opt-Out Rule — APPROACHING</w:t>
            </w:r>
          </w:p>
          <w:p>
            <w:pPr>
              <w:pStyle w:val="ListParagraph"/>
              <w:numPr>
                <w:ilvl w:val="0"/>
                <w:numId w:val="2"/>
              </w:numPr>
              <w:spacing w:after="120"/>
            </w:pPr>
            <w:r>
              <w:rPr>
                <w:sz w:val="20"/>
                <w:szCs w:val="20"/>
              </w:rPr>
              <w:t xml:space="preserve">May 2026: WCAG 2.1 AA for Federal Funding — PLAN NOW</w:t>
            </w:r>
          </w:p>
        </w:tc>
      </w:tr>
    </w:tbl>
    <w:p>
      <w:pPr>
        <w:pStyle w:val="Heading1"/>
      </w:pPr>
      <w:r>
        <w:t xml:space="preserve">1. HIERARCHY OF INSTRUCTIONS</w:t>
      </w:r>
    </w:p>
    <w:p>
      <w:pPr>
        <w:spacing w:after="120"/>
      </w:pPr>
      <w:r>
        <w:t xml:space="preserve">When building this platform, Cursor must follow this priority order:</w:t>
      </w:r>
    </w:p>
    <w:p>
      <w:pPr>
        <w:pStyle w:val="ListParagraph"/>
        <w:numPr>
          <w:ilvl w:val="0"/>
          <w:numId w:val="3"/>
        </w:numPr>
      </w:pPr>
      <w:r>
        <w:rPr>
          <w:b/>
          <w:bCs/>
        </w:rPr>
        <w:t xml:space="preserve">PRIMARY: </w:t>
      </w:r>
      <w:r>
        <w:t xml:space="preserve">instructions.md (always takes precedence over everything)</w:t>
      </w:r>
    </w:p>
    <w:p>
      <w:pPr>
        <w:pStyle w:val="ListParagraph"/>
        <w:numPr>
          <w:ilvl w:val="0"/>
          <w:numId w:val="3"/>
        </w:numPr>
      </w:pPr>
      <w:r>
        <w:rPr>
          <w:b/>
          <w:bCs/>
        </w:rPr>
        <w:t xml:space="preserve">SECONDARY: </w:t>
      </w:r>
      <w:r>
        <w:t xml:space="preserve">This document (system-requirements.md)</w:t>
      </w:r>
    </w:p>
    <w:p>
      <w:pPr>
        <w:pStyle w:val="ListParagraph"/>
        <w:numPr>
          <w:ilvl w:val="0"/>
          <w:numId w:val="3"/>
        </w:numPr>
      </w:pPr>
      <w:r>
        <w:rPr>
          <w:b/>
          <w:bCs/>
        </w:rPr>
        <w:t xml:space="preserve">TERTIARY: </w:t>
      </w:r>
      <w:r>
        <w:t xml:space="preserve">Cursor's best judgment for implementation details</w:t>
      </w:r>
    </w:p>
    <w:p>
      <w:pPr>
        <w:pStyle w:val="Heading1"/>
      </w:pPr>
      <w:r>
        <w:t xml:space="preserve">2. RESPONSIBILITY MATRIX: CURSOR vs JANE</w:t>
      </w:r>
    </w:p>
    <w:p>
      <w:pPr>
        <w:spacing w:after="200"/>
      </w:pPr>
      <w:r>
        <w:t xml:space="preserve">This is the most critical section. Understanding this boundary prevents scope creep and ensures HIPAA compliance.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FUNCTION</w:t>
            </w:r>
          </w:p>
        </w:tc>
        <w:tc>
          <w:tcPr>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CURSOR BUILDS</w:t>
            </w:r>
          </w:p>
        </w:tc>
        <w:tc>
          <w:tcPr>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JANE HANDLES</w:t>
            </w:r>
          </w:p>
        </w:tc>
      </w:tr>
      <w:tr>
        <w:tc>
          <w:tcPr>
            <w:tcBorders>
              <w:top w:val="single" w:color="CCCCCC" w:sz="1"/>
              <w:left w:val="single" w:color="CCCCCC" w:sz="1"/>
              <w:bottom w:val="single" w:color="CCCCCC" w:sz="1"/>
              <w:right w:val="single" w:color="CCCCCC" w:sz="1"/>
            </w:tcBorders>
            <w:shd w:fill="e2e8f0" w:val="clear"/>
          </w:tcPr>
          <w:p>
            <w:r>
              <w:rPr>
                <w:b/>
                <w:bCs/>
                <w:sz w:val="20"/>
                <w:szCs w:val="20"/>
              </w:rPr>
              <w:t xml:space="preserve">Appointment Booking</w:t>
            </w:r>
          </w:p>
        </w:tc>
        <w:tc>
          <w:tcPr>
            <w:tcBorders>
              <w:top w:val="single" w:color="CCCCCC" w:sz="1"/>
              <w:left w:val="single" w:color="CCCCCC" w:sz="1"/>
              <w:bottom w:val="single" w:color="CCCCCC" w:sz="1"/>
              <w:right w:val="single" w:color="CCCCCC" w:sz="1"/>
            </w:tcBorders>
          </w:tcPr>
          <w:p>
            <w:r>
              <w:rPr>
                <w:sz w:val="20"/>
                <w:szCs w:val="20"/>
              </w:rPr>
              <w:t xml:space="preserve">Embed Jane booking widget; track clicks</w:t>
            </w:r>
          </w:p>
        </w:tc>
        <w:tc>
          <w:tcPr>
            <w:tcBorders>
              <w:top w:val="single" w:color="CCCCCC" w:sz="1"/>
              <w:left w:val="single" w:color="CCCCCC" w:sz="1"/>
              <w:bottom w:val="single" w:color="CCCCCC" w:sz="1"/>
              <w:right w:val="single" w:color="CCCCCC" w:sz="1"/>
            </w:tcBorders>
          </w:tcPr>
          <w:p>
            <w:r>
              <w:rPr>
                <w:sz w:val="20"/>
                <w:szCs w:val="20"/>
              </w:rPr>
              <w:t xml:space="preserve">Full booking system, availability, confirmations</w:t>
            </w:r>
          </w:p>
        </w:tc>
      </w:tr>
      <w:tr>
        <w:tc>
          <w:tcPr>
            <w:tcBorders>
              <w:top w:val="single" w:color="CCCCCC" w:sz="1"/>
              <w:left w:val="single" w:color="CCCCCC" w:sz="1"/>
              <w:bottom w:val="single" w:color="CCCCCC" w:sz="1"/>
              <w:right w:val="single" w:color="CCCCCC" w:sz="1"/>
            </w:tcBorders>
            <w:shd w:fill="e2e8f0" w:val="clear"/>
          </w:tcPr>
          <w:p>
            <w:r>
              <w:rPr>
                <w:b/>
                <w:bCs/>
                <w:sz w:val="20"/>
                <w:szCs w:val="20"/>
              </w:rPr>
              <w:t xml:space="preserve">Calendar Display</w:t>
            </w:r>
          </w:p>
        </w:tc>
        <w:tc>
          <w:tcPr>
            <w:tcBorders>
              <w:top w:val="single" w:color="CCCCCC" w:sz="1"/>
              <w:left w:val="single" w:color="CCCCCC" w:sz="1"/>
              <w:bottom w:val="single" w:color="CCCCCC" w:sz="1"/>
              <w:right w:val="single" w:color="CCCCCC" w:sz="1"/>
            </w:tcBorders>
          </w:tcPr>
          <w:p>
            <w:r>
              <w:rPr>
                <w:sz w:val="20"/>
                <w:szCs w:val="20"/>
              </w:rPr>
              <w:t xml:space="preserve">Import iCal feed; display read-only schedule</w:t>
            </w:r>
          </w:p>
        </w:tc>
        <w:tc>
          <w:tcPr>
            <w:tcBorders>
              <w:top w:val="single" w:color="CCCCCC" w:sz="1"/>
              <w:left w:val="single" w:color="CCCCCC" w:sz="1"/>
              <w:bottom w:val="single" w:color="CCCCCC" w:sz="1"/>
              <w:right w:val="single" w:color="CCCCCC" w:sz="1"/>
            </w:tcBorders>
          </w:tcPr>
          <w:p>
            <w:r>
              <w:rPr>
                <w:sz w:val="20"/>
                <w:szCs w:val="20"/>
              </w:rPr>
              <w:t xml:space="preserve">Master calendar, real-time availability</w:t>
            </w:r>
          </w:p>
        </w:tc>
      </w:tr>
      <w:tr>
        <w:tc>
          <w:tcPr>
            <w:tcBorders>
              <w:top w:val="single" w:color="CCCCCC" w:sz="1"/>
              <w:left w:val="single" w:color="CCCCCC" w:sz="1"/>
              <w:bottom w:val="single" w:color="CCCCCC" w:sz="1"/>
              <w:right w:val="single" w:color="CCCCCC" w:sz="1"/>
            </w:tcBorders>
            <w:shd w:fill="e2e8f0" w:val="clear"/>
          </w:tcPr>
          <w:p>
            <w:r>
              <w:rPr>
                <w:b/>
                <w:bCs/>
                <w:sz w:val="20"/>
                <w:szCs w:val="20"/>
              </w:rPr>
              <w:t xml:space="preserve">Waitlist</w:t>
            </w:r>
          </w:p>
        </w:tc>
        <w:tc>
          <w:tcPr>
            <w:tcBorders>
              <w:top w:val="single" w:color="CCCCCC" w:sz="1"/>
              <w:left w:val="single" w:color="CCCCCC" w:sz="1"/>
              <w:bottom w:val="single" w:color="CCCCCC" w:sz="1"/>
              <w:right w:val="single" w:color="CCCCCC" w:sz="1"/>
            </w:tcBorders>
          </w:tcPr>
          <w:p>
            <w:r>
              <w:rPr>
                <w:sz w:val="20"/>
                <w:szCs w:val="20"/>
              </w:rPr>
              <w:t xml:space="preserve">Link to Jane waitlist; display waitlist info</w:t>
            </w:r>
          </w:p>
        </w:tc>
        <w:tc>
          <w:tcPr>
            <w:tcBorders>
              <w:top w:val="single" w:color="CCCCCC" w:sz="1"/>
              <w:left w:val="single" w:color="CCCCCC" w:sz="1"/>
              <w:bottom w:val="single" w:color="CCCCCC" w:sz="1"/>
              <w:right w:val="single" w:color="CCCCCC" w:sz="1"/>
            </w:tcBorders>
          </w:tcPr>
          <w:p>
            <w:r>
              <w:rPr>
                <w:sz w:val="20"/>
                <w:szCs w:val="20"/>
              </w:rPr>
              <w:t xml:space="preserve">Full waitlist with auto-notifications (Thrive plan)</w:t>
            </w:r>
          </w:p>
        </w:tc>
      </w:tr>
      <w:tr>
        <w:tc>
          <w:tcPr>
            <w:tcBorders>
              <w:top w:val="single" w:color="CCCCCC" w:sz="1"/>
              <w:left w:val="single" w:color="CCCCCC" w:sz="1"/>
              <w:bottom w:val="single" w:color="CCCCCC" w:sz="1"/>
              <w:right w:val="single" w:color="CCCCCC" w:sz="1"/>
            </w:tcBorders>
            <w:shd w:fill="e2e8f0" w:val="clear"/>
          </w:tcPr>
          <w:p>
            <w:r>
              <w:rPr>
                <w:b/>
                <w:bCs/>
                <w:sz w:val="20"/>
                <w:szCs w:val="20"/>
              </w:rPr>
              <w:t xml:space="preserve">Intake Forms (Clinical)</w:t>
            </w:r>
          </w:p>
        </w:tc>
        <w:tc>
          <w:tcPr>
            <w:tcBorders>
              <w:top w:val="single" w:color="CCCCCC" w:sz="1"/>
              <w:left w:val="single" w:color="CCCCCC" w:sz="1"/>
              <w:bottom w:val="single" w:color="CCCCCC" w:sz="1"/>
              <w:right w:val="single" w:color="CCCCCC" w:sz="1"/>
            </w:tcBorders>
          </w:tcPr>
          <w:p>
            <w:r>
              <w:rPr>
                <w:color w:val="c53030"/>
                <w:sz w:val="20"/>
                <w:szCs w:val="20"/>
              </w:rPr>
              <w:t xml:space="preserve">DO NOT BUILD — redirect to Jane</w:t>
            </w:r>
          </w:p>
        </w:tc>
        <w:tc>
          <w:tcPr>
            <w:tcBorders>
              <w:top w:val="single" w:color="CCCCCC" w:sz="1"/>
              <w:left w:val="single" w:color="CCCCCC" w:sz="1"/>
              <w:bottom w:val="single" w:color="CCCCCC" w:sz="1"/>
              <w:right w:val="single" w:color="CCCCCC" w:sz="1"/>
            </w:tcBorders>
          </w:tcPr>
          <w:p>
            <w:r>
              <w:rPr>
                <w:sz w:val="20"/>
                <w:szCs w:val="20"/>
              </w:rPr>
              <w:t xml:space="preserve">Full clinical intake, HIPAA-compliant storage</w:t>
            </w:r>
          </w:p>
        </w:tc>
      </w:tr>
      <w:tr>
        <w:tc>
          <w:tcPr>
            <w:tcBorders>
              <w:top w:val="single" w:color="CCCCCC" w:sz="1"/>
              <w:left w:val="single" w:color="CCCCCC" w:sz="1"/>
              <w:bottom w:val="single" w:color="CCCCCC" w:sz="1"/>
              <w:right w:val="single" w:color="CCCCCC" w:sz="1"/>
            </w:tcBorders>
            <w:shd w:fill="e2e8f0" w:val="clear"/>
          </w:tcPr>
          <w:p>
            <w:r>
              <w:rPr>
                <w:b/>
                <w:bCs/>
                <w:sz w:val="20"/>
                <w:szCs w:val="20"/>
              </w:rPr>
              <w:t xml:space="preserve">Contact/Lead Forms</w:t>
            </w:r>
          </w:p>
        </w:tc>
        <w:tc>
          <w:tcPr>
            <w:tcBorders>
              <w:top w:val="single" w:color="CCCCCC" w:sz="1"/>
              <w:left w:val="single" w:color="CCCCCC" w:sz="1"/>
              <w:bottom w:val="single" w:color="CCCCCC" w:sz="1"/>
              <w:right w:val="single" w:color="CCCCCC" w:sz="1"/>
            </w:tcBorders>
          </w:tcPr>
          <w:p>
            <w:r>
              <w:rPr>
                <w:sz w:val="20"/>
                <w:szCs w:val="20"/>
              </w:rPr>
              <w:t xml:space="preserve">Build multi-step form; store in admin backend</w:t>
            </w:r>
          </w:p>
        </w:tc>
        <w:tc>
          <w:tcPr>
            <w:tcBorders>
              <w:top w:val="single" w:color="CCCCCC" w:sz="1"/>
              <w:left w:val="single" w:color="CCCCCC" w:sz="1"/>
              <w:bottom w:val="single" w:color="CCCCCC" w:sz="1"/>
              <w:right w:val="single" w:color="CCCCCC" w:sz="1"/>
            </w:tcBorders>
          </w:tcPr>
          <w:p>
            <w:r>
              <w:rPr>
                <w:sz w:val="20"/>
                <w:szCs w:val="20"/>
              </w:rPr>
              <w:t xml:space="preserve">N/A — not Jane's function</w:t>
            </w:r>
          </w:p>
        </w:tc>
      </w:tr>
      <w:tr>
        <w:tc>
          <w:tcPr>
            <w:tcBorders>
              <w:top w:val="single" w:color="CCCCCC" w:sz="1"/>
              <w:left w:val="single" w:color="CCCCCC" w:sz="1"/>
              <w:bottom w:val="single" w:color="CCCCCC" w:sz="1"/>
              <w:right w:val="single" w:color="CCCCCC" w:sz="1"/>
            </w:tcBorders>
            <w:shd w:fill="e2e8f0" w:val="clear"/>
          </w:tcPr>
          <w:p>
            <w:r>
              <w:rPr>
                <w:b/>
                <w:bCs/>
                <w:sz w:val="20"/>
                <w:szCs w:val="20"/>
              </w:rPr>
              <w:t xml:space="preserve">Consent Forms</w:t>
            </w:r>
          </w:p>
        </w:tc>
        <w:tc>
          <w:tcPr>
            <w:tcBorders>
              <w:top w:val="single" w:color="CCCCCC" w:sz="1"/>
              <w:left w:val="single" w:color="CCCCCC" w:sz="1"/>
              <w:bottom w:val="single" w:color="CCCCCC" w:sz="1"/>
              <w:right w:val="single" w:color="CCCCCC" w:sz="1"/>
            </w:tcBorders>
          </w:tcPr>
          <w:p>
            <w:r>
              <w:rPr>
                <w:sz w:val="20"/>
                <w:szCs w:val="20"/>
              </w:rPr>
              <w:t xml:space="preserve">Build marketing/communication consent only</w:t>
            </w:r>
          </w:p>
        </w:tc>
        <w:tc>
          <w:tcPr>
            <w:tcBorders>
              <w:top w:val="single" w:color="CCCCCC" w:sz="1"/>
              <w:left w:val="single" w:color="CCCCCC" w:sz="1"/>
              <w:bottom w:val="single" w:color="CCCCCC" w:sz="1"/>
              <w:right w:val="single" w:color="CCCCCC" w:sz="1"/>
            </w:tcBorders>
          </w:tcPr>
          <w:p>
            <w:r>
              <w:rPr>
                <w:sz w:val="20"/>
                <w:szCs w:val="20"/>
              </w:rPr>
              <w:t xml:space="preserve">Treatment consent, telehealth consent, clinical forms</w:t>
            </w:r>
          </w:p>
        </w:tc>
      </w:tr>
      <w:tr>
        <w:tc>
          <w:tcPr>
            <w:tcBorders>
              <w:top w:val="single" w:color="CCCCCC" w:sz="1"/>
              <w:left w:val="single" w:color="CCCCCC" w:sz="1"/>
              <w:bottom w:val="single" w:color="CCCCCC" w:sz="1"/>
              <w:right w:val="single" w:color="CCCCCC" w:sz="1"/>
            </w:tcBorders>
            <w:shd w:fill="e2e8f0" w:val="clear"/>
          </w:tcPr>
          <w:p>
            <w:r>
              <w:rPr>
                <w:b/>
                <w:bCs/>
                <w:sz w:val="20"/>
                <w:szCs w:val="20"/>
              </w:rPr>
              <w:t xml:space="preserve">Good Faith Estimates</w:t>
            </w:r>
          </w:p>
        </w:tc>
        <w:tc>
          <w:tcPr>
            <w:tcBorders>
              <w:top w:val="single" w:color="CCCCCC" w:sz="1"/>
              <w:left w:val="single" w:color="CCCCCC" w:sz="1"/>
              <w:bottom w:val="single" w:color="CCCCCC" w:sz="1"/>
              <w:right w:val="single" w:color="CCCCCC" w:sz="1"/>
            </w:tcBorders>
          </w:tcPr>
          <w:p>
            <w:r>
              <w:rPr>
                <w:sz w:val="20"/>
                <w:szCs w:val="20"/>
              </w:rPr>
              <w:t xml:space="preserve">Display GFE notice on website; link to Jane</w:t>
            </w:r>
          </w:p>
        </w:tc>
        <w:tc>
          <w:tcPr>
            <w:tcBorders>
              <w:top w:val="single" w:color="CCCCCC" w:sz="1"/>
              <w:left w:val="single" w:color="CCCCCC" w:sz="1"/>
              <w:bottom w:val="single" w:color="CCCCCC" w:sz="1"/>
              <w:right w:val="single" w:color="CCCCCC" w:sz="1"/>
            </w:tcBorders>
          </w:tcPr>
          <w:p>
            <w:r>
              <w:rPr>
                <w:sz w:val="20"/>
                <w:szCs w:val="20"/>
              </w:rPr>
              <w:t xml:space="preserve">GFE template in chart, signature collection</w:t>
            </w:r>
          </w:p>
        </w:tc>
      </w:tr>
      <w:tr>
        <w:tc>
          <w:tcPr>
            <w:tcBorders>
              <w:top w:val="single" w:color="CCCCCC" w:sz="1"/>
              <w:left w:val="single" w:color="CCCCCC" w:sz="1"/>
              <w:bottom w:val="single" w:color="CCCCCC" w:sz="1"/>
              <w:right w:val="single" w:color="CCCCCC" w:sz="1"/>
            </w:tcBorders>
            <w:shd w:fill="e2e8f0" w:val="clear"/>
          </w:tcPr>
          <w:p>
            <w:r>
              <w:rPr>
                <w:b/>
                <w:bCs/>
                <w:sz w:val="20"/>
                <w:szCs w:val="20"/>
              </w:rPr>
              <w:t xml:space="preserve">Telehealth</w:t>
            </w:r>
          </w:p>
        </w:tc>
        <w:tc>
          <w:tcPr>
            <w:tcBorders>
              <w:top w:val="single" w:color="CCCCCC" w:sz="1"/>
              <w:left w:val="single" w:color="CCCCCC" w:sz="1"/>
              <w:bottom w:val="single" w:color="CCCCCC" w:sz="1"/>
              <w:right w:val="single" w:color="CCCCCC" w:sz="1"/>
            </w:tcBorders>
          </w:tcPr>
          <w:p>
            <w:r>
              <w:rPr>
                <w:color w:val="c53030"/>
                <w:sz w:val="20"/>
                <w:szCs w:val="20"/>
              </w:rPr>
              <w:t xml:space="preserve">DO NOT BUILD — use Jane's telehealth</w:t>
            </w:r>
          </w:p>
        </w:tc>
        <w:tc>
          <w:tcPr>
            <w:tcBorders>
              <w:top w:val="single" w:color="CCCCCC" w:sz="1"/>
              <w:left w:val="single" w:color="CCCCCC" w:sz="1"/>
              <w:bottom w:val="single" w:color="CCCCCC" w:sz="1"/>
              <w:right w:val="single" w:color="CCCCCC" w:sz="1"/>
            </w:tcBorders>
          </w:tcPr>
          <w:p>
            <w:r>
              <w:rPr>
                <w:sz w:val="20"/>
                <w:szCs w:val="20"/>
              </w:rPr>
              <w:t xml:space="preserve">HIPAA-compliant video (1:1 and groups)</w:t>
            </w:r>
          </w:p>
        </w:tc>
      </w:tr>
      <w:tr>
        <w:tc>
          <w:tcPr>
            <w:tcBorders>
              <w:top w:val="single" w:color="CCCCCC" w:sz="1"/>
              <w:left w:val="single" w:color="CCCCCC" w:sz="1"/>
              <w:bottom w:val="single" w:color="CCCCCC" w:sz="1"/>
              <w:right w:val="single" w:color="CCCCCC" w:sz="1"/>
            </w:tcBorders>
            <w:shd w:fill="e2e8f0" w:val="clear"/>
          </w:tcPr>
          <w:p>
            <w:r>
              <w:rPr>
                <w:b/>
                <w:bCs/>
                <w:sz w:val="20"/>
                <w:szCs w:val="20"/>
              </w:rPr>
              <w:t xml:space="preserve">Insurance Verification</w:t>
            </w:r>
          </w:p>
        </w:tc>
        <w:tc>
          <w:tcPr>
            <w:tcBorders>
              <w:top w:val="single" w:color="CCCCCC" w:sz="1"/>
              <w:left w:val="single" w:color="CCCCCC" w:sz="1"/>
              <w:bottom w:val="single" w:color="CCCCCC" w:sz="1"/>
              <w:right w:val="single" w:color="CCCCCC" w:sz="1"/>
            </w:tcBorders>
          </w:tcPr>
          <w:p>
            <w:r>
              <w:rPr>
                <w:sz w:val="20"/>
                <w:szCs w:val="20"/>
              </w:rPr>
              <w:t xml:space="preserve">Display accepted insurers; link to Jane</w:t>
            </w:r>
          </w:p>
        </w:tc>
        <w:tc>
          <w:tcPr>
            <w:tcBorders>
              <w:top w:val="single" w:color="CCCCCC" w:sz="1"/>
              <w:left w:val="single" w:color="CCCCCC" w:sz="1"/>
              <w:bottom w:val="single" w:color="CCCCCC" w:sz="1"/>
              <w:right w:val="single" w:color="CCCCCC" w:sz="1"/>
            </w:tcBorders>
          </w:tcPr>
          <w:p>
            <w:r>
              <w:rPr>
                <w:sz w:val="20"/>
                <w:szCs w:val="20"/>
              </w:rPr>
              <w:t xml:space="preserve">Eligibility checks via Claim.MD integration</w:t>
            </w:r>
          </w:p>
        </w:tc>
      </w:tr>
      <w:tr>
        <w:tc>
          <w:tcPr>
            <w:tcBorders>
              <w:top w:val="single" w:color="CCCCCC" w:sz="1"/>
              <w:left w:val="single" w:color="CCCCCC" w:sz="1"/>
              <w:bottom w:val="single" w:color="CCCCCC" w:sz="1"/>
              <w:right w:val="single" w:color="CCCCCC" w:sz="1"/>
            </w:tcBorders>
            <w:shd w:fill="e2e8f0" w:val="clear"/>
          </w:tcPr>
          <w:p>
            <w:r>
              <w:rPr>
                <w:b/>
                <w:bCs/>
                <w:sz w:val="20"/>
                <w:szCs w:val="20"/>
              </w:rPr>
              <w:t xml:space="preserve">Billing/Payments</w:t>
            </w:r>
          </w:p>
        </w:tc>
        <w:tc>
          <w:tcPr>
            <w:tcBorders>
              <w:top w:val="single" w:color="CCCCCC" w:sz="1"/>
              <w:left w:val="single" w:color="CCCCCC" w:sz="1"/>
              <w:bottom w:val="single" w:color="CCCCCC" w:sz="1"/>
              <w:right w:val="single" w:color="CCCCCC" w:sz="1"/>
            </w:tcBorders>
          </w:tcPr>
          <w:p>
            <w:r>
              <w:rPr>
                <w:color w:val="c53030"/>
                <w:sz w:val="20"/>
                <w:szCs w:val="20"/>
              </w:rPr>
              <w:t xml:space="preserve">DO NOT BUILD — never handle payment</w:t>
            </w:r>
          </w:p>
        </w:tc>
        <w:tc>
          <w:tcPr>
            <w:tcBorders>
              <w:top w:val="single" w:color="CCCCCC" w:sz="1"/>
              <w:left w:val="single" w:color="CCCCCC" w:sz="1"/>
              <w:bottom w:val="single" w:color="CCCCCC" w:sz="1"/>
              <w:right w:val="single" w:color="CCCCCC" w:sz="1"/>
            </w:tcBorders>
          </w:tcPr>
          <w:p>
            <w:r>
              <w:rPr>
                <w:sz w:val="20"/>
                <w:szCs w:val="20"/>
              </w:rPr>
              <w:t xml:space="preserve">Jane Payments, invoicing, insurance claims</w:t>
            </w:r>
          </w:p>
        </w:tc>
      </w:tr>
      <w:tr>
        <w:tc>
          <w:tcPr>
            <w:tcBorders>
              <w:top w:val="single" w:color="CCCCCC" w:sz="1"/>
              <w:left w:val="single" w:color="CCCCCC" w:sz="1"/>
              <w:bottom w:val="single" w:color="CCCCCC" w:sz="1"/>
              <w:right w:val="single" w:color="CCCCCC" w:sz="1"/>
            </w:tcBorders>
            <w:shd w:fill="e2e8f0" w:val="clear"/>
          </w:tcPr>
          <w:p>
            <w:r>
              <w:rPr>
                <w:b/>
                <w:bCs/>
                <w:sz w:val="20"/>
                <w:szCs w:val="20"/>
              </w:rPr>
              <w:t xml:space="preserve">Chart Notes/Clinical Records</w:t>
            </w:r>
          </w:p>
        </w:tc>
        <w:tc>
          <w:tcPr>
            <w:tcBorders>
              <w:top w:val="single" w:color="CCCCCC" w:sz="1"/>
              <w:left w:val="single" w:color="CCCCCC" w:sz="1"/>
              <w:bottom w:val="single" w:color="CCCCCC" w:sz="1"/>
              <w:right w:val="single" w:color="CCCCCC" w:sz="1"/>
            </w:tcBorders>
          </w:tcPr>
          <w:p>
            <w:r>
              <w:rPr>
                <w:color w:val="c53030"/>
                <w:sz w:val="20"/>
                <w:szCs w:val="20"/>
              </w:rPr>
              <w:t xml:space="preserve">DO NOT BUILD — never store PHI</w:t>
            </w:r>
          </w:p>
        </w:tc>
        <w:tc>
          <w:tcPr>
            <w:tcBorders>
              <w:top w:val="single" w:color="CCCCCC" w:sz="1"/>
              <w:left w:val="single" w:color="CCCCCC" w:sz="1"/>
              <w:bottom w:val="single" w:color="CCCCCC" w:sz="1"/>
              <w:right w:val="single" w:color="CCCCCC" w:sz="1"/>
            </w:tcBorders>
          </w:tcPr>
          <w:p>
            <w:r>
              <w:rPr>
                <w:sz w:val="20"/>
                <w:szCs w:val="20"/>
              </w:rPr>
              <w:t xml:space="preserve">Full EHR, SOAP notes, 10,000+ templates</w:t>
            </w:r>
          </w:p>
        </w:tc>
      </w:tr>
      <w:tr>
        <w:tc>
          <w:tcPr>
            <w:tcBorders>
              <w:top w:val="single" w:color="CCCCCC" w:sz="1"/>
              <w:left w:val="single" w:color="CCCCCC" w:sz="1"/>
              <w:bottom w:val="single" w:color="CCCCCC" w:sz="1"/>
              <w:right w:val="single" w:color="CCCCCC" w:sz="1"/>
            </w:tcBorders>
            <w:shd w:fill="e2e8f0" w:val="clear"/>
          </w:tcPr>
          <w:p>
            <w:r>
              <w:rPr>
                <w:b/>
                <w:bCs/>
                <w:sz w:val="20"/>
                <w:szCs w:val="20"/>
              </w:rPr>
              <w:t xml:space="preserve">Patient Portal</w:t>
            </w:r>
          </w:p>
        </w:tc>
        <w:tc>
          <w:tcPr>
            <w:tcBorders>
              <w:top w:val="single" w:color="CCCCCC" w:sz="1"/>
              <w:left w:val="single" w:color="CCCCCC" w:sz="1"/>
              <w:bottom w:val="single" w:color="CCCCCC" w:sz="1"/>
              <w:right w:val="single" w:color="CCCCCC" w:sz="1"/>
            </w:tcBorders>
          </w:tcPr>
          <w:p>
            <w:r>
              <w:rPr>
                <w:sz w:val="20"/>
                <w:szCs w:val="20"/>
              </w:rPr>
              <w:t xml:space="preserve">Link to Jane portal; no duplicate build</w:t>
            </w:r>
          </w:p>
        </w:tc>
        <w:tc>
          <w:tcPr>
            <w:tcBorders>
              <w:top w:val="single" w:color="CCCCCC" w:sz="1"/>
              <w:left w:val="single" w:color="CCCCCC" w:sz="1"/>
              <w:bottom w:val="single" w:color="CCCCCC" w:sz="1"/>
              <w:right w:val="single" w:color="CCCCCC" w:sz="1"/>
            </w:tcBorders>
          </w:tcPr>
          <w:p>
            <w:r>
              <w:rPr>
                <w:sz w:val="20"/>
                <w:szCs w:val="20"/>
              </w:rPr>
              <w:t xml:space="preserve">Secure portal, appointment view, records access</w:t>
            </w:r>
          </w:p>
        </w:tc>
      </w:tr>
      <w:tr>
        <w:tc>
          <w:tcPr>
            <w:tcBorders>
              <w:top w:val="single" w:color="CCCCCC" w:sz="1"/>
              <w:left w:val="single" w:color="CCCCCC" w:sz="1"/>
              <w:bottom w:val="single" w:color="CCCCCC" w:sz="1"/>
              <w:right w:val="single" w:color="CCCCCC" w:sz="1"/>
            </w:tcBorders>
            <w:shd w:fill="e2e8f0" w:val="clear"/>
          </w:tcPr>
          <w:p>
            <w:r>
              <w:rPr>
                <w:b/>
                <w:bCs/>
                <w:sz w:val="20"/>
                <w:szCs w:val="20"/>
              </w:rPr>
              <w:t xml:space="preserve">Appointment Reminders</w:t>
            </w:r>
          </w:p>
        </w:tc>
        <w:tc>
          <w:tcPr>
            <w:tcBorders>
              <w:top w:val="single" w:color="CCCCCC" w:sz="1"/>
              <w:left w:val="single" w:color="CCCCCC" w:sz="1"/>
              <w:bottom w:val="single" w:color="CCCCCC" w:sz="1"/>
              <w:right w:val="single" w:color="CCCCCC" w:sz="1"/>
            </w:tcBorders>
          </w:tcPr>
          <w:p>
            <w:r>
              <w:rPr>
                <w:sz w:val="20"/>
                <w:szCs w:val="20"/>
              </w:rPr>
              <w:t xml:space="preserve">Marketing emails only (campaigns)</w:t>
            </w:r>
          </w:p>
        </w:tc>
        <w:tc>
          <w:tcPr>
            <w:tcBorders>
              <w:top w:val="single" w:color="CCCCCC" w:sz="1"/>
              <w:left w:val="single" w:color="CCCCCC" w:sz="1"/>
              <w:bottom w:val="single" w:color="CCCCCC" w:sz="1"/>
              <w:right w:val="single" w:color="CCCCCC" w:sz="1"/>
            </w:tcBorders>
          </w:tcPr>
          <w:p>
            <w:r>
              <w:rPr>
                <w:sz w:val="20"/>
                <w:szCs w:val="20"/>
              </w:rPr>
              <w:t xml:space="preserve">Email and SMS reminders (built-in)</w:t>
            </w:r>
          </w:p>
        </w:tc>
      </w:tr>
      <w:tr>
        <w:tc>
          <w:tcPr>
            <w:tcBorders>
              <w:top w:val="single" w:color="CCCCCC" w:sz="1"/>
              <w:left w:val="single" w:color="CCCCCC" w:sz="1"/>
              <w:bottom w:val="single" w:color="CCCCCC" w:sz="1"/>
              <w:right w:val="single" w:color="CCCCCC" w:sz="1"/>
            </w:tcBorders>
            <w:shd w:fill="e2e8f0" w:val="clear"/>
          </w:tcPr>
          <w:p>
            <w:r>
              <w:rPr>
                <w:b/>
                <w:bCs/>
                <w:sz w:val="20"/>
                <w:szCs w:val="20"/>
              </w:rPr>
              <w:t xml:space="preserve">Marketing Campaigns</w:t>
            </w:r>
          </w:p>
        </w:tc>
        <w:tc>
          <w:tcPr>
            <w:tcBorders>
              <w:top w:val="single" w:color="CCCCCC" w:sz="1"/>
              <w:left w:val="single" w:color="CCCCCC" w:sz="1"/>
              <w:bottom w:val="single" w:color="CCCCCC" w:sz="1"/>
              <w:right w:val="single" w:color="CCCCCC" w:sz="1"/>
            </w:tcBorders>
          </w:tcPr>
          <w:p>
            <w:r>
              <w:rPr>
                <w:sz w:val="20"/>
                <w:szCs w:val="20"/>
              </w:rPr>
              <w:t xml:space="preserve">Build email/SMS campaigns via backend</w:t>
            </w:r>
          </w:p>
        </w:tc>
        <w:tc>
          <w:tcPr>
            <w:tcBorders>
              <w:top w:val="single" w:color="CCCCCC" w:sz="1"/>
              <w:left w:val="single" w:color="CCCCCC" w:sz="1"/>
              <w:bottom w:val="single" w:color="CCCCCC" w:sz="1"/>
              <w:right w:val="single" w:color="CCCCCC" w:sz="1"/>
            </w:tcBorders>
          </w:tcPr>
          <w:p>
            <w:r>
              <w:rPr>
                <w:sz w:val="20"/>
                <w:szCs w:val="20"/>
              </w:rPr>
              <w:t xml:space="preserve">Mailchimp integration for patient lists</w:t>
            </w:r>
          </w:p>
        </w:tc>
      </w:tr>
      <w:tr>
        <w:tc>
          <w:tcPr>
            <w:tcBorders>
              <w:top w:val="single" w:color="CCCCCC" w:sz="1"/>
              <w:left w:val="single" w:color="CCCCCC" w:sz="1"/>
              <w:bottom w:val="single" w:color="CCCCCC" w:sz="1"/>
              <w:right w:val="single" w:color="CCCCCC" w:sz="1"/>
            </w:tcBorders>
            <w:shd w:fill="e2e8f0" w:val="clear"/>
          </w:tcPr>
          <w:p>
            <w:r>
              <w:rPr>
                <w:b/>
                <w:bCs/>
                <w:sz w:val="20"/>
                <w:szCs w:val="20"/>
              </w:rPr>
              <w:t xml:space="preserve">Analytics</w:t>
            </w:r>
          </w:p>
        </w:tc>
        <w:tc>
          <w:tcPr>
            <w:tcBorders>
              <w:top w:val="single" w:color="CCCCCC" w:sz="1"/>
              <w:left w:val="single" w:color="CCCCCC" w:sz="1"/>
              <w:bottom w:val="single" w:color="CCCCCC" w:sz="1"/>
              <w:right w:val="single" w:color="CCCCCC" w:sz="1"/>
            </w:tcBorders>
          </w:tcPr>
          <w:p>
            <w:r>
              <w:rPr>
                <w:sz w:val="20"/>
                <w:szCs w:val="20"/>
              </w:rPr>
              <w:t xml:space="preserve">Website analytics, lead conversion, marketing ROI</w:t>
            </w:r>
          </w:p>
        </w:tc>
        <w:tc>
          <w:tcPr>
            <w:tcBorders>
              <w:top w:val="single" w:color="CCCCCC" w:sz="1"/>
              <w:left w:val="single" w:color="CCCCCC" w:sz="1"/>
              <w:bottom w:val="single" w:color="CCCCCC" w:sz="1"/>
              <w:right w:val="single" w:color="CCCCCC" w:sz="1"/>
            </w:tcBorders>
          </w:tcPr>
          <w:p>
            <w:r>
              <w:rPr>
                <w:sz w:val="20"/>
                <w:szCs w:val="20"/>
              </w:rPr>
              <w:t xml:space="preserve">Appointment reports, billing reports, patient data</w:t>
            </w:r>
          </w:p>
        </w:tc>
      </w:tr>
    </w:tbl>
    <w:p>
      <w:pPr>
        <w:pStyle w:val="Heading1"/>
      </w:pPr>
      <w:r>
        <w:t xml:space="preserve">3. JANE INTEGRATION SPECIFICATIONS</w:t>
      </w:r>
    </w:p>
    <w:p>
      <w:pPr>
        <w:spacing w:after="120"/>
      </w:pPr>
      <w:r>
        <w:rPr>
          <w:b/>
          <w:bCs/>
        </w:rPr>
        <w:t xml:space="preserve">CRITICAL: Jane has NO public API. </w:t>
      </w:r>
      <w:r>
        <w:t xml:space="preserve">All integration must use these approved methods:</w:t>
      </w:r>
    </w:p>
    <w:p>
      <w:pPr>
        <w:pStyle w:val="Heading2"/>
      </w:pPr>
      <w:r>
        <w:t xml:space="preserve">3.1 Booking Widget Embedding</w:t>
      </w:r>
    </w:p>
    <w:p>
      <w:pPr>
        <w:pStyle w:val="ListParagraph"/>
        <w:numPr>
          <w:ilvl w:val="0"/>
          <w:numId w:val="4"/>
        </w:numPr>
      </w:pPr>
      <w:r>
        <w:t xml:space="preserve">Jane provides HTML embed codes for "Book Online" buttons</w:t>
      </w:r>
    </w:p>
    <w:p>
      <w:pPr>
        <w:pStyle w:val="ListParagraph"/>
        <w:numPr>
          <w:ilvl w:val="0"/>
          <w:numId w:val="4"/>
        </w:numPr>
      </w:pPr>
      <w:r>
        <w:t xml:space="preserve">Buttons link directly to Jane's hosted booking page (not iframed)</w:t>
      </w:r>
    </w:p>
    <w:p>
      <w:pPr>
        <w:pStyle w:val="ListParagraph"/>
        <w:numPr>
          <w:ilvl w:val="0"/>
          <w:numId w:val="4"/>
        </w:numPr>
      </w:pPr>
      <w:r>
        <w:t xml:space="preserve">Available per-clinic, per-location, and per-practitioner</w:t>
      </w:r>
    </w:p>
    <w:p>
      <w:pPr>
        <w:pStyle w:val="ListParagraph"/>
        <w:numPr>
          <w:ilvl w:val="0"/>
          <w:numId w:val="4"/>
        </w:numPr>
      </w:pPr>
      <w:r>
        <w:t xml:space="preserve">Track clicks via Google Analytics 4 integration (Jane supports GA4)</w:t>
      </w:r>
    </w:p>
    <w:p>
      <w:pPr>
        <w:pStyle w:val="ListParagraph"/>
        <w:numPr>
          <w:ilvl w:val="0"/>
          <w:numId w:val="4"/>
        </w:numPr>
      </w:pPr>
      <w:r>
        <w:rPr>
          <w:b/>
          <w:bCs/>
        </w:rPr>
        <w:t xml:space="preserve">Note: </w:t>
      </w:r>
      <w:r>
        <w:t xml:space="preserve">Jane does NOT support Google Tag Manager or Meta Pixel (privacy reasons)</w:t>
      </w:r>
    </w:p>
    <w:p>
      <w:pPr>
        <w:pStyle w:val="Heading2"/>
      </w:pPr>
      <w:r>
        <w:t xml:space="preserve">3.2 iCal Calendar Sync</w:t>
      </w:r>
    </w:p>
    <w:p>
      <w:pPr>
        <w:pStyle w:val="ListParagraph"/>
        <w:numPr>
          <w:ilvl w:val="0"/>
          <w:numId w:val="4"/>
        </w:numPr>
      </w:pPr>
      <w:r>
        <w:t xml:space="preserve">Jane provides private iCal URLs for each staff member</w:t>
      </w:r>
    </w:p>
    <w:p>
      <w:pPr>
        <w:pStyle w:val="ListParagraph"/>
        <w:numPr>
          <w:ilvl w:val="0"/>
          <w:numId w:val="4"/>
        </w:numPr>
      </w:pPr>
      <w:r>
        <w:t xml:space="preserve">Sync is ONE-WAY only (Jane → external calendar)</w:t>
      </w:r>
    </w:p>
    <w:p>
      <w:pPr>
        <w:pStyle w:val="ListParagraph"/>
        <w:numPr>
          <w:ilvl w:val="0"/>
          <w:numId w:val="4"/>
        </w:numPr>
      </w:pPr>
      <w:r>
        <w:t xml:space="preserve">Changes in external calendar are NOT reflected back in Jane</w:t>
      </w:r>
    </w:p>
    <w:p>
      <w:pPr>
        <w:pStyle w:val="ListParagraph"/>
        <w:numPr>
          <w:ilvl w:val="0"/>
          <w:numId w:val="4"/>
        </w:numPr>
      </w:pPr>
      <w:r>
        <w:t xml:space="preserve">Includes appointments and shifts</w:t>
      </w:r>
    </w:p>
    <w:p>
      <w:pPr>
        <w:pStyle w:val="ListParagraph"/>
        <w:numPr>
          <w:ilvl w:val="0"/>
          <w:numId w:val="4"/>
        </w:numPr>
      </w:pPr>
      <w:r>
        <w:t xml:space="preserve">Option to include/exclude appointment notes (may contain PHI)</w:t>
      </w:r>
    </w:p>
    <w:p>
      <w:pPr>
        <w:pStyle w:val="ListParagraph"/>
        <w:numPr>
          <w:ilvl w:val="0"/>
          <w:numId w:val="4"/>
        </w:numPr>
      </w:pPr>
      <w:r>
        <w:rPr>
          <w:b/>
          <w:bCs/>
        </w:rPr>
        <w:t xml:space="preserve">Refresh rate: </w:t>
      </w:r>
      <w:r>
        <w:t xml:space="preserve">Typically updates every few hours (not real-time)</w:t>
      </w:r>
    </w:p>
    <w:p>
      <w:pPr>
        <w:pStyle w:val="Heading2"/>
      </w:pPr>
      <w:r>
        <w:t xml:space="preserve">3.3 What Cursor Should Build for iCal Import</w:t>
      </w:r>
    </w:p>
    <w:p>
      <w:pPr>
        <w:pStyle w:val="ListParagraph"/>
        <w:numPr>
          <w:ilvl w:val="0"/>
          <w:numId w:val="4"/>
        </w:numPr>
      </w:pPr>
      <w:r>
        <w:t xml:space="preserve">Backend service to fetch iCal feeds on schedule (recommend hourly)</w:t>
      </w:r>
    </w:p>
    <w:p>
      <w:pPr>
        <w:pStyle w:val="ListParagraph"/>
        <w:numPr>
          <w:ilvl w:val="0"/>
          <w:numId w:val="4"/>
        </w:numPr>
      </w:pPr>
      <w:r>
        <w:t xml:space="preserve">Parse iCal data into admin dashboard calendar view</w:t>
      </w:r>
    </w:p>
    <w:p>
      <w:pPr>
        <w:pStyle w:val="ListParagraph"/>
        <w:numPr>
          <w:ilvl w:val="0"/>
          <w:numId w:val="4"/>
        </w:numPr>
      </w:pPr>
      <w:r>
        <w:t xml:space="preserve">Display appointments as read-only with provider color-coding</w:t>
      </w:r>
    </w:p>
    <w:p>
      <w:pPr>
        <w:pStyle w:val="ListParagraph"/>
        <w:numPr>
          <w:ilvl w:val="0"/>
          <w:numId w:val="4"/>
        </w:numPr>
      </w:pPr>
      <w:r>
        <w:t xml:space="preserve">Add "View in Jane" links for each appointment (deep link to Jane)</w:t>
      </w:r>
    </w:p>
    <w:p>
      <w:pPr>
        <w:pStyle w:val="ListParagraph"/>
        <w:numPr>
          <w:ilvl w:val="0"/>
          <w:numId w:val="4"/>
        </w:numPr>
      </w:pPr>
      <w:r>
        <w:t xml:space="preserve">Implement fallback handling if Jane feed fails</w:t>
      </w:r>
    </w:p>
    <w:p>
      <w:pPr>
        <w:pStyle w:val="ListParagraph"/>
        <w:numPr>
          <w:ilvl w:val="0"/>
          <w:numId w:val="4"/>
        </w:numPr>
      </w:pPr>
      <w:r>
        <w:t xml:space="preserve">Store only non-PHI metadata (time, provider name, service type)</w:t>
      </w:r>
    </w:p>
    <w:p>
      <w:pPr>
        <w:pStyle w:val="Heading2"/>
      </w:pPr>
      <w:r>
        <w:t xml:space="preserve">3.4 Mailchimp Integration</w:t>
      </w:r>
    </w:p>
    <w:p>
      <w:pPr>
        <w:pStyle w:val="ListParagraph"/>
        <w:numPr>
          <w:ilvl w:val="0"/>
          <w:numId w:val="4"/>
        </w:numPr>
      </w:pPr>
      <w:r>
        <w:t xml:space="preserve">Jane syncs patient contact lists to Mailchimp</w:t>
      </w:r>
    </w:p>
    <w:p>
      <w:pPr>
        <w:pStyle w:val="ListParagraph"/>
        <w:numPr>
          <w:ilvl w:val="0"/>
          <w:numId w:val="4"/>
        </w:numPr>
      </w:pPr>
      <w:r>
        <w:t xml:space="preserve">Can be manually triggered from Jane admin</w:t>
      </w:r>
    </w:p>
    <w:p>
      <w:pPr>
        <w:pStyle w:val="ListParagraph"/>
        <w:numPr>
          <w:ilvl w:val="0"/>
          <w:numId w:val="4"/>
        </w:numPr>
      </w:pPr>
      <w:r>
        <w:rPr>
          <w:b/>
          <w:bCs/>
        </w:rPr>
        <w:t xml:space="preserve">Cursor option: </w:t>
      </w:r>
      <w:r>
        <w:t xml:space="preserve">Build campaign tools that work with Mailchimp API, OR build independent email system using SendGrid/similar</w:t>
      </w:r>
    </w:p>
    <w:p>
      <w:r>
        <w:br w:type="page"/>
      </w:r>
    </w:p>
    <w:p>
      <w:pPr>
        <w:pStyle w:val="Heading1"/>
      </w:pPr>
      <w:r>
        <w:t xml:space="preserve">4. THREE-LAYER ARCHITECTURE (CURSOR BUILDS LAYERS 1 &amp; 2)</w:t>
      </w:r>
    </w:p>
    <w:p>
      <w:pPr>
        <w:pStyle w:val="Heading2"/>
      </w:pPr>
      <w:r>
        <w:t xml:space="preserve">Layer 1: Customer-Facing Website (Cursor Builds)</w:t>
      </w:r>
    </w:p>
    <w:p>
      <w:r>
        <w:rPr>
          <w:b/>
          <w:bCs/>
        </w:rPr>
        <w:t xml:space="preserve">Technology Stack: </w:t>
      </w:r>
      <w:r>
        <w:t xml:space="preserve">React + Next.js, static HTML for marketing pages, React Hook Form for validation</w:t>
      </w:r>
    </w:p>
    <w:p>
      <w:pPr>
        <w:spacing w:before="120"/>
      </w:pPr>
      <w:r>
        <w:rPr>
          <w:b/>
          <w:bCs/>
        </w:rPr>
        <w:t xml:space="preserve">Pages to Build:</w:t>
      </w:r>
    </w:p>
    <w:p>
      <w:pPr>
        <w:pStyle w:val="ListParagraph"/>
        <w:numPr>
          <w:ilvl w:val="0"/>
          <w:numId w:val="5"/>
        </w:numPr>
      </w:pPr>
      <w:r>
        <w:t xml:space="preserve">Home, About, Contact, FAQ</w:t>
      </w:r>
    </w:p>
    <w:p>
      <w:pPr>
        <w:pStyle w:val="ListParagraph"/>
        <w:numPr>
          <w:ilvl w:val="0"/>
          <w:numId w:val="5"/>
        </w:numPr>
      </w:pPr>
      <w:r>
        <w:t xml:space="preserve">Services (overview + individual service pages for each modality)</w:t>
      </w:r>
    </w:p>
    <w:p>
      <w:pPr>
        <w:pStyle w:val="ListParagraph"/>
        <w:numPr>
          <w:ilvl w:val="0"/>
          <w:numId w:val="5"/>
        </w:numPr>
      </w:pPr>
      <w:r>
        <w:t xml:space="preserve">Locations (overview + individual location pages)</w:t>
      </w:r>
    </w:p>
    <w:p>
      <w:pPr>
        <w:pStyle w:val="ListParagraph"/>
        <w:numPr>
          <w:ilvl w:val="0"/>
          <w:numId w:val="5"/>
        </w:numPr>
      </w:pPr>
      <w:r>
        <w:t xml:space="preserve">Team/Providers (bios with credentials, photo, specialties)</w:t>
      </w:r>
    </w:p>
    <w:p>
      <w:pPr>
        <w:pStyle w:val="ListParagraph"/>
        <w:numPr>
          <w:ilvl w:val="0"/>
          <w:numId w:val="5"/>
        </w:numPr>
      </w:pPr>
      <w:r>
        <w:t xml:space="preserve">Blog/Resources (Phase 2 consideration)</w:t>
      </w:r>
    </w:p>
    <w:p>
      <w:pPr>
        <w:pStyle w:val="ListParagraph"/>
        <w:numPr>
          <w:ilvl w:val="0"/>
          <w:numId w:val="5"/>
        </w:numPr>
      </w:pPr>
      <w:r>
        <w:t xml:space="preserve">Privacy Policy, Terms of Service, Accessibility Statement</w:t>
      </w:r>
    </w:p>
    <w:p>
      <w:pPr>
        <w:spacing w:before="120"/>
      </w:pPr>
      <w:r>
        <w:rPr>
          <w:b/>
          <w:bCs/>
        </w:rPr>
        <w:t xml:space="preserve">Interactive Components:</w:t>
      </w:r>
    </w:p>
    <w:p>
      <w:pPr>
        <w:pStyle w:val="ListParagraph"/>
        <w:numPr>
          <w:ilvl w:val="0"/>
          <w:numId w:val="5"/>
        </w:numPr>
      </w:pPr>
      <w:r>
        <w:t xml:space="preserve">Multi-step contact/inquiry form (5-7 steps with progress indicator)</w:t>
      </w:r>
    </w:p>
    <w:p>
      <w:pPr>
        <w:pStyle w:val="ListParagraph"/>
        <w:numPr>
          <w:ilvl w:val="0"/>
          <w:numId w:val="5"/>
        </w:numPr>
      </w:pPr>
      <w:r>
        <w:t xml:space="preserve">Service finder quiz (matching symptoms to services)</w:t>
      </w:r>
    </w:p>
    <w:p>
      <w:pPr>
        <w:pStyle w:val="ListParagraph"/>
        <w:numPr>
          <w:ilvl w:val="0"/>
          <w:numId w:val="5"/>
        </w:numPr>
      </w:pPr>
      <w:r>
        <w:t xml:space="preserve">Location finder with map</w:t>
      </w:r>
    </w:p>
    <w:p>
      <w:pPr>
        <w:pStyle w:val="ListParagraph"/>
        <w:numPr>
          <w:ilvl w:val="0"/>
          <w:numId w:val="5"/>
        </w:numPr>
      </w:pPr>
      <w:r>
        <w:t xml:space="preserve">Embedded Jane booking buttons (NOT iframes)</w:t>
      </w:r>
    </w:p>
    <w:p>
      <w:pPr>
        <w:pStyle w:val="ListParagraph"/>
        <w:numPr>
          <w:ilvl w:val="0"/>
          <w:numId w:val="5"/>
        </w:numPr>
      </w:pPr>
      <w:r>
        <w:t xml:space="preserve">Crisis resource banner (988 visible on every page)</w:t>
      </w:r>
    </w:p>
    <w:p>
      <w:pPr>
        <w:pStyle w:val="ListParagraph"/>
        <w:numPr>
          <w:ilvl w:val="0"/>
          <w:numId w:val="5"/>
        </w:numPr>
      </w:pPr>
      <w:r>
        <w:t xml:space="preserve">Accessibility widget (font size, contrast, reduced motion)</w:t>
      </w:r>
    </w:p>
    <w:p>
      <w:pPr>
        <w:pStyle w:val="ListParagraph"/>
        <w:numPr>
          <w:ilvl w:val="0"/>
          <w:numId w:val="5"/>
        </w:numPr>
      </w:pPr>
      <w:r>
        <w:t xml:space="preserve">Language toggle (English/Spanish)</w:t>
      </w:r>
    </w:p>
    <w:p>
      <w:pPr>
        <w:pStyle w:val="Heading2"/>
      </w:pPr>
      <w:r>
        <w:t xml:space="preserve">Layer 2: Admin Backend Dashboard (Cursor Builds)</w:t>
      </w:r>
    </w:p>
    <w:p>
      <w:r>
        <w:rPr>
          <w:b/>
          <w:bCs/>
        </w:rPr>
        <w:t xml:space="preserve">Technology Stack: </w:t>
      </w:r>
      <w:r>
        <w:t xml:space="preserve">React SPA, Node.js/Next.js backend, PostgreSQL (non-PHI only)</w:t>
      </w:r>
    </w:p>
    <w:p>
      <w:pPr>
        <w:spacing w:before="120"/>
      </w:pPr>
      <w:r>
        <w:rPr>
          <w:b/>
          <w:bCs/>
        </w:rPr>
        <w:t xml:space="preserve">Core Modules:</w:t>
      </w:r>
    </w:p>
    <w:p>
      <w:pPr>
        <w:pStyle w:val="ListParagraph"/>
        <w:numPr>
          <w:ilvl w:val="0"/>
          <w:numId w:val="5"/>
        </w:numPr>
      </w:pPr>
      <w:r>
        <w:rPr>
          <w:b/>
          <w:bCs/>
        </w:rPr>
        <w:t xml:space="preserve">Leads &amp; Contacts: </w:t>
      </w:r>
      <w:r>
        <w:t xml:space="preserve">View form submissions, filter/sort, assign to staff, add notes, track status</w:t>
      </w:r>
    </w:p>
    <w:p>
      <w:pPr>
        <w:pStyle w:val="ListParagraph"/>
        <w:numPr>
          <w:ilvl w:val="0"/>
          <w:numId w:val="5"/>
        </w:numPr>
      </w:pPr>
      <w:r>
        <w:rPr>
          <w:b/>
          <w:bCs/>
        </w:rPr>
        <w:t xml:space="preserve">Appointments (Read-Only): </w:t>
      </w:r>
      <w:r>
        <w:t xml:space="preserve">Daily/weekly/monthly view from iCal import, color-coded, links to Jane</w:t>
      </w:r>
    </w:p>
    <w:p>
      <w:pPr>
        <w:pStyle w:val="ListParagraph"/>
        <w:numPr>
          <w:ilvl w:val="0"/>
          <w:numId w:val="5"/>
        </w:numPr>
      </w:pPr>
      <w:r>
        <w:rPr>
          <w:b/>
          <w:bCs/>
        </w:rPr>
        <w:t xml:space="preserve">Marketing &amp; Campaigns: </w:t>
      </w:r>
      <w:r>
        <w:t xml:space="preserve">Email builder, SMS campaigns, promo codes, A/B testing</w:t>
      </w:r>
    </w:p>
    <w:p>
      <w:pPr>
        <w:pStyle w:val="ListParagraph"/>
        <w:numPr>
          <w:ilvl w:val="0"/>
          <w:numId w:val="5"/>
        </w:numPr>
      </w:pPr>
      <w:r>
        <w:rPr>
          <w:b/>
          <w:bCs/>
        </w:rPr>
        <w:t xml:space="preserve">Analytics &amp; Reporting: </w:t>
      </w:r>
      <w:r>
        <w:t xml:space="preserve">Traffic sources, conversion funnels, service popularity, exports</w:t>
      </w:r>
    </w:p>
    <w:p>
      <w:pPr>
        <w:pStyle w:val="ListParagraph"/>
        <w:numPr>
          <w:ilvl w:val="0"/>
          <w:numId w:val="5"/>
        </w:numPr>
      </w:pPr>
      <w:r>
        <w:rPr>
          <w:b/>
          <w:bCs/>
        </w:rPr>
        <w:t xml:space="preserve">Content Management: </w:t>
      </w:r>
      <w:r>
        <w:t xml:space="preserve">Edit website text, upload images, manage team bios, publish blog posts</w:t>
      </w:r>
    </w:p>
    <w:p>
      <w:pPr>
        <w:spacing w:before="120"/>
      </w:pPr>
      <w:r>
        <w:rPr>
          <w:b/>
          <w:bCs/>
        </w:rPr>
        <w:t xml:space="preserve">User Roles:</w:t>
      </w:r>
    </w:p>
    <w:p>
      <w:pPr>
        <w:pStyle w:val="ListParagraph"/>
        <w:numPr>
          <w:ilvl w:val="0"/>
          <w:numId w:val="5"/>
        </w:numPr>
      </w:pPr>
      <w:r>
        <w:t xml:space="preserve">Super Admin: Full access</w:t>
      </w:r>
    </w:p>
    <w:p>
      <w:pPr>
        <w:pStyle w:val="ListParagraph"/>
        <w:numPr>
          <w:ilvl w:val="0"/>
          <w:numId w:val="5"/>
        </w:numPr>
      </w:pPr>
      <w:r>
        <w:t xml:space="preserve">Marketing: Campaigns, analytics, content</w:t>
      </w:r>
    </w:p>
    <w:p>
      <w:pPr>
        <w:pStyle w:val="ListParagraph"/>
        <w:numPr>
          <w:ilvl w:val="0"/>
          <w:numId w:val="5"/>
        </w:numPr>
      </w:pPr>
      <w:r>
        <w:t xml:space="preserve">Front Desk: View appointments, contact leads</w:t>
      </w:r>
    </w:p>
    <w:p>
      <w:pPr>
        <w:pStyle w:val="ListParagraph"/>
        <w:numPr>
          <w:ilvl w:val="0"/>
          <w:numId w:val="5"/>
        </w:numPr>
      </w:pPr>
      <w:r>
        <w:t xml:space="preserve">Read-Only: View-only for stakeholders</w:t>
      </w:r>
    </w:p>
    <w:p>
      <w:pPr>
        <w:pStyle w:val="Heading2"/>
      </w:pPr>
      <w:r>
        <w:t xml:space="preserve">Layer 3: Jane EHR (DO NOT BUILD — Already Exists)</w:t>
      </w:r>
    </w:p>
    <w:p>
      <w:r>
        <w:t xml:space="preserve">Jane handles all clinical functions. Cursor only connects via approved integration points (widget embedding, iCal, Mailchimp).</w:t>
      </w:r>
    </w:p>
    <w:p>
      <w:pPr>
        <w:pStyle w:val="Heading1"/>
      </w:pPr>
      <w:r>
        <w:t xml:space="preserve">5. DATA COLLECTION RULES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Borders>
              <w:top w:val="single" w:color="CCCCCC" w:sz="1"/>
              <w:left w:val="single" w:color="CCCCCC" w:sz="1"/>
              <w:bottom w:val="single" w:color="CCCCCC" w:sz="1"/>
              <w:right w:val="single" w:color="CCCCCC" w:sz="1"/>
            </w:tcBorders>
            <w:shd w:fill="c53030" w:val="clear"/>
          </w:tcPr>
          <w:p>
            <w:pPr>
              <w:jc w:val="center"/>
            </w:pPr>
            <w:r>
              <w:rPr>
                <w:b/>
                <w:bCs/>
                <w:color w:val="FFFFFF"/>
                <w:sz w:val="22"/>
                <w:szCs w:val="22"/>
              </w:rPr>
              <w:t xml:space="preserve">NEVER COLLECT ON PUBLIC WEBSITE</w:t>
            </w:r>
          </w:p>
        </w:tc>
        <w:tc>
          <w:tcPr>
            <w:tcBorders>
              <w:top w:val="single" w:color="CCCCCC" w:sz="1"/>
              <w:left w:val="single" w:color="CCCCCC" w:sz="1"/>
              <w:bottom w:val="single" w:color="CCCCCC" w:sz="1"/>
              <w:right w:val="single" w:color="CCCCCC" w:sz="1"/>
            </w:tcBorders>
            <w:shd w:fill="276749" w:val="clear"/>
          </w:tcPr>
          <w:p>
            <w:pPr>
              <w:jc w:val="center"/>
            </w:pPr>
            <w:r>
              <w:rPr>
                <w:b/>
                <w:bCs/>
                <w:color w:val="FFFFFF"/>
                <w:sz w:val="22"/>
                <w:szCs w:val="22"/>
              </w:rPr>
              <w:t xml:space="preserve">ALLOWED TO COLLECT</w:t>
            </w:r>
          </w:p>
        </w:tc>
      </w:tr>
      <w:tr>
        <w:tc>
          <w:tcPr>
            <w:tcBorders>
              <w:top w:val="single" w:color="CCCCCC" w:sz="1"/>
              <w:left w:val="single" w:color="CCCCCC" w:sz="1"/>
              <w:bottom w:val="single" w:color="CCCCCC" w:sz="1"/>
              <w:right w:val="single" w:color="CCCCCC" w:sz="1"/>
            </w:tcBorders>
          </w:tcPr>
          <w:p>
            <w:r>
              <w:rPr>
                <w:sz w:val="20"/>
                <w:szCs w:val="20"/>
              </w:rPr>
              <w:t xml:space="preserve">Social Security Numbers</w:t>
            </w:r>
          </w:p>
          <w:p>
            <w:r>
              <w:rPr>
                <w:sz w:val="20"/>
                <w:szCs w:val="20"/>
              </w:rPr>
              <w:t xml:space="preserve">Date of Birth</w:t>
            </w:r>
          </w:p>
          <w:p>
            <w:r>
              <w:rPr>
                <w:sz w:val="20"/>
                <w:szCs w:val="20"/>
              </w:rPr>
              <w:t xml:space="preserve">Medical history</w:t>
            </w:r>
          </w:p>
          <w:p>
            <w:r>
              <w:rPr>
                <w:sz w:val="20"/>
                <w:szCs w:val="20"/>
              </w:rPr>
              <w:t xml:space="preserve">Health conditions / Diagnoses</w:t>
            </w:r>
          </w:p>
          <w:p>
            <w:r>
              <w:rPr>
                <w:sz w:val="20"/>
                <w:szCs w:val="20"/>
              </w:rPr>
              <w:t xml:space="preserve">Treatment information</w:t>
            </w:r>
          </w:p>
          <w:p>
            <w:r>
              <w:rPr>
                <w:sz w:val="20"/>
                <w:szCs w:val="20"/>
              </w:rPr>
              <w:t xml:space="preserve">Medications</w:t>
            </w:r>
          </w:p>
          <w:p>
            <w:r>
              <w:rPr>
                <w:sz w:val="20"/>
                <w:szCs w:val="20"/>
              </w:rPr>
              <w:t xml:space="preserve">Insurance policy details</w:t>
            </w:r>
          </w:p>
          <w:p>
            <w:r>
              <w:rPr>
                <w:sz w:val="20"/>
                <w:szCs w:val="20"/>
              </w:rPr>
              <w:t xml:space="preserve">Any Protected Health Information (PHI)</w:t>
            </w:r>
          </w:p>
        </w:tc>
        <w:tc>
          <w:tcPr>
            <w:tcBorders>
              <w:top w:val="single" w:color="CCCCCC" w:sz="1"/>
              <w:left w:val="single" w:color="CCCCCC" w:sz="1"/>
              <w:bottom w:val="single" w:color="CCCCCC" w:sz="1"/>
              <w:right w:val="single" w:color="CCCCCC" w:sz="1"/>
            </w:tcBorders>
          </w:tcPr>
          <w:p>
            <w:r>
              <w:rPr>
                <w:sz w:val="20"/>
                <w:szCs w:val="20"/>
              </w:rPr>
              <w:t xml:space="preserve">First name, Last name</w:t>
            </w:r>
          </w:p>
          <w:p>
            <w:r>
              <w:rPr>
                <w:sz w:val="20"/>
                <w:szCs w:val="20"/>
              </w:rPr>
              <w:t xml:space="preserve">Email address</w:t>
            </w:r>
          </w:p>
          <w:p>
            <w:r>
              <w:rPr>
                <w:sz w:val="20"/>
                <w:szCs w:val="20"/>
              </w:rPr>
              <w:t xml:space="preserve">Phone number</w:t>
            </w:r>
          </w:p>
          <w:p>
            <w:r>
              <w:rPr>
                <w:sz w:val="20"/>
                <w:szCs w:val="20"/>
              </w:rPr>
              <w:t xml:space="preserve">Preferred contact method</w:t>
            </w:r>
          </w:p>
          <w:p>
            <w:r>
              <w:rPr>
                <w:sz w:val="20"/>
                <w:szCs w:val="20"/>
              </w:rPr>
              <w:t xml:space="preserve">Service interest (which therapy/wellness)</w:t>
            </w:r>
          </w:p>
          <w:p>
            <w:r>
              <w:rPr>
                <w:sz w:val="20"/>
                <w:szCs w:val="20"/>
              </w:rPr>
              <w:t xml:space="preserve">Preferred location</w:t>
            </w:r>
          </w:p>
          <w:p>
            <w:r>
              <w:rPr>
                <w:sz w:val="20"/>
                <w:szCs w:val="20"/>
              </w:rPr>
              <w:t xml:space="preserve">Preferred timing (general availability)</w:t>
            </w:r>
          </w:p>
          <w:p>
            <w:r>
              <w:rPr>
                <w:sz w:val="20"/>
                <w:szCs w:val="20"/>
              </w:rPr>
              <w:t xml:space="preserve">Marketing attribution (how they found you)</w:t>
            </w:r>
          </w:p>
          <w:p>
            <w:r>
              <w:rPr>
                <w:sz w:val="20"/>
                <w:szCs w:val="20"/>
              </w:rPr>
              <w:t xml:space="preserve">General questions/concerns (freeform text)</w:t>
            </w:r>
          </w:p>
        </w:tc>
      </w:tr>
    </w:tbl>
    <w:p>
      <w:r>
        <w:br w:type="page"/>
      </w:r>
    </w:p>
    <w:p>
      <w:pPr>
        <w:pStyle w:val="Heading1"/>
      </w:pPr>
      <w:r>
        <w:t xml:space="preserve">6. NY LEGAL &amp; COMPLIANCE REQUIREMENTS</w:t>
      </w:r>
    </w:p>
    <w:p>
      <w:pPr>
        <w:pStyle w:val="Heading2"/>
      </w:pPr>
      <w:r>
        <w:t xml:space="preserve">6.1 Mandatory Consent Requirements (Cursor Must Build)</w:t>
      </w:r>
    </w:p>
    <w:p>
      <w:pPr>
        <w:spacing w:after="120"/>
      </w:pPr>
      <w:r>
        <w:t xml:space="preserve">All consent checkboxes must be unchecked by default (never pre-checked).</w:t>
      </w:r>
    </w:p>
    <w:p>
      <w:pPr>
        <w:pStyle w:val="Heading3"/>
      </w:pPr>
      <w:r>
        <w:t xml:space="preserve">Contact/Inquiry Form Consents:</w:t>
      </w:r>
    </w:p>
    <w:p>
      <w:pPr>
        <w:pStyle w:val="ListParagraph"/>
        <w:numPr>
          <w:ilvl w:val="0"/>
          <w:numId w:val="6"/>
        </w:numPr>
      </w:pPr>
      <w:r>
        <w:t xml:space="preserve">Privacy Policy acknowledgment (required)</w:t>
      </w:r>
    </w:p>
    <w:p>
      <w:pPr>
        <w:pStyle w:val="ListParagraph"/>
        <w:numPr>
          <w:ilvl w:val="0"/>
          <w:numId w:val="6"/>
        </w:numPr>
      </w:pPr>
      <w:r>
        <w:t xml:space="preserve">Terms of Service agreement (required)</w:t>
      </w:r>
    </w:p>
    <w:p>
      <w:pPr>
        <w:pStyle w:val="ListParagraph"/>
        <w:numPr>
          <w:ilvl w:val="0"/>
          <w:numId w:val="6"/>
        </w:numPr>
      </w:pPr>
      <w:r>
        <w:t xml:space="preserve">SMS opt-in with TCPA language (optional, separate from required)</w:t>
      </w:r>
    </w:p>
    <w:p>
      <w:pPr>
        <w:pStyle w:val="ListParagraph"/>
        <w:numPr>
          <w:ilvl w:val="0"/>
          <w:numId w:val="6"/>
        </w:numPr>
      </w:pPr>
      <w:r>
        <w:t xml:space="preserve">Marketing email opt-in (optional, separate)</w:t>
      </w:r>
    </w:p>
    <w:p>
      <w:pPr>
        <w:pStyle w:val="Heading3"/>
      </w:pPr>
      <w:r>
        <w:t xml:space="preserve">Required Website Notices (Cursor Displays, Jane Handles Actual Consent):</w:t>
      </w:r>
    </w:p>
    <w:p>
      <w:pPr>
        <w:pStyle w:val="ListParagraph"/>
        <w:numPr>
          <w:ilvl w:val="0"/>
          <w:numId w:val="6"/>
        </w:numPr>
      </w:pPr>
      <w:r>
        <w:t xml:space="preserve">Good Faith Estimate notice on booking/pricing pages</w:t>
      </w:r>
    </w:p>
    <w:p>
      <w:pPr>
        <w:pStyle w:val="ListParagraph"/>
        <w:numPr>
          <w:ilvl w:val="0"/>
          <w:numId w:val="6"/>
        </w:numPr>
      </w:pPr>
      <w:r>
        <w:t xml:space="preserve">Non-discrimination notice</w:t>
      </w:r>
    </w:p>
    <w:p>
      <w:pPr>
        <w:pStyle w:val="ListParagraph"/>
        <w:numPr>
          <w:ilvl w:val="0"/>
          <w:numId w:val="6"/>
        </w:numPr>
      </w:pPr>
      <w:r>
        <w:t xml:space="preserve">Accessibility statement</w:t>
      </w:r>
    </w:p>
    <w:p>
      <w:pPr>
        <w:pStyle w:val="ListParagraph"/>
        <w:numPr>
          <w:ilvl w:val="0"/>
          <w:numId w:val="6"/>
        </w:numPr>
      </w:pPr>
      <w:r>
        <w:t xml:space="preserve">Patient rights information</w:t>
      </w:r>
    </w:p>
    <w:p>
      <w:pPr>
        <w:pStyle w:val="Heading2"/>
      </w:pPr>
      <w:r>
        <w:t xml:space="preserve">6.2 TCPA Compliance (April 2025 Rules)</w:t>
      </w:r>
    </w:p>
    <w:p>
      <w:pPr>
        <w:pStyle w:val="ListParagraph"/>
        <w:numPr>
          <w:ilvl w:val="0"/>
          <w:numId w:val="6"/>
        </w:numPr>
      </w:pPr>
      <w:r>
        <w:t xml:space="preserve">Prior Express Written Consent (PEWC) required for all marketing SMS</w:t>
      </w:r>
    </w:p>
    <w:p>
      <w:pPr>
        <w:pStyle w:val="ListParagraph"/>
        <w:numPr>
          <w:ilvl w:val="0"/>
          <w:numId w:val="6"/>
        </w:numPr>
      </w:pPr>
      <w:r>
        <w:t xml:space="preserve">Consent capture must include: disclosure of automated technology, statement consent is not condition of purchase</w:t>
      </w:r>
    </w:p>
    <w:p>
      <w:pPr>
        <w:pStyle w:val="ListParagraph"/>
        <w:numPr>
          <w:ilvl w:val="0"/>
          <w:numId w:val="6"/>
        </w:numPr>
      </w:pPr>
      <w:r>
        <w:rPr>
          <w:b/>
          <w:bCs/>
        </w:rPr>
        <w:t xml:space="preserve">Opt-out honored within 10 days </w:t>
      </w:r>
      <w:r>
        <w:t xml:space="preserve">(new April 2025 requirement)</w:t>
      </w:r>
    </w:p>
    <w:p>
      <w:pPr>
        <w:pStyle w:val="ListParagraph"/>
        <w:numPr>
          <w:ilvl w:val="0"/>
          <w:numId w:val="6"/>
        </w:numPr>
      </w:pPr>
      <w:r>
        <w:t xml:space="preserve">Accept opt-out in any reasonable manner (not just "STOP")</w:t>
      </w:r>
    </w:p>
    <w:p>
      <w:pPr>
        <w:pStyle w:val="ListParagraph"/>
        <w:numPr>
          <w:ilvl w:val="0"/>
          <w:numId w:val="6"/>
        </w:numPr>
      </w:pPr>
      <w:r>
        <w:t xml:space="preserve">Only ONE clarification message permitted after revocation</w:t>
      </w:r>
    </w:p>
    <w:p>
      <w:pPr>
        <w:pStyle w:val="ListParagraph"/>
        <w:numPr>
          <w:ilvl w:val="0"/>
          <w:numId w:val="6"/>
        </w:numPr>
      </w:pPr>
      <w:r>
        <w:t xml:space="preserve">Retain opt-out records for 4 years</w:t>
      </w:r>
    </w:p>
    <w:p>
      <w:pPr>
        <w:pStyle w:val="ListParagraph"/>
        <w:numPr>
          <w:ilvl w:val="0"/>
          <w:numId w:val="6"/>
        </w:numPr>
      </w:pPr>
      <w:r>
        <w:t xml:space="preserve">Healthcare messages: max 1x/day and 3x/week for automated messages</w:t>
      </w:r>
    </w:p>
    <w:p>
      <w:pPr>
        <w:pStyle w:val="Heading2"/>
      </w:pPr>
      <w:r>
        <w:t xml:space="preserve">6.3 Crisis Resource Requirements</w:t>
      </w:r>
    </w:p>
    <w:p>
      <w:pPr>
        <w:spacing w:after="60"/>
      </w:pPr>
      <w:r>
        <w:t xml:space="preserve">988 Suicide &amp; Crisis Lifeline must be visible on EVERY page. Include:</w:t>
      </w:r>
    </w:p>
    <w:p>
      <w:pPr>
        <w:pStyle w:val="ListParagraph"/>
        <w:numPr>
          <w:ilvl w:val="0"/>
          <w:numId w:val="6"/>
        </w:numPr>
      </w:pPr>
      <w:r>
        <w:t xml:space="preserve">Call, Text, Chat options</w:t>
      </w:r>
    </w:p>
    <w:p>
      <w:pPr>
        <w:pStyle w:val="ListParagraph"/>
        <w:numPr>
          <w:ilvl w:val="0"/>
          <w:numId w:val="6"/>
        </w:numPr>
      </w:pPr>
      <w:r>
        <w:t xml:space="preserve">Veterans: Press 1</w:t>
      </w:r>
    </w:p>
    <w:p>
      <w:pPr>
        <w:pStyle w:val="ListParagraph"/>
        <w:numPr>
          <w:ilvl w:val="0"/>
          <w:numId w:val="6"/>
        </w:numPr>
      </w:pPr>
      <w:r>
        <w:t xml:space="preserve">Spanish: Presione 2</w:t>
      </w:r>
    </w:p>
    <w:p>
      <w:pPr>
        <w:pStyle w:val="ListParagraph"/>
        <w:numPr>
          <w:ilvl w:val="0"/>
          <w:numId w:val="6"/>
        </w:numPr>
      </w:pPr>
      <w:r>
        <w:t xml:space="preserve">Clickable tel: links on mobile</w:t>
      </w:r>
    </w:p>
    <w:p>
      <w:pPr>
        <w:pStyle w:val="ListParagraph"/>
        <w:numPr>
          <w:ilvl w:val="0"/>
          <w:numId w:val="6"/>
        </w:numPr>
      </w:pPr>
      <w:r>
        <w:t xml:space="preserve">Additional: Crisis Text Line (741741), NYC Well (888-NYC-WELL)</w:t>
      </w:r>
    </w:p>
    <w:p>
      <w:pPr>
        <w:pStyle w:val="Heading2"/>
      </w:pPr>
      <w:r>
        <w:t xml:space="preserve">6.4 Accessibility Requirements (WCAG 2.1 AA)</w:t>
      </w:r>
    </w:p>
    <w:p>
      <w:pPr>
        <w:pStyle w:val="ListParagraph"/>
        <w:numPr>
          <w:ilvl w:val="0"/>
          <w:numId w:val="6"/>
        </w:numPr>
      </w:pPr>
      <w:r>
        <w:t xml:space="preserve">Reduced motion support via prefers-reduced-motion CSS</w:t>
      </w:r>
    </w:p>
    <w:p>
      <w:pPr>
        <w:pStyle w:val="ListParagraph"/>
        <w:numPr>
          <w:ilvl w:val="0"/>
          <w:numId w:val="6"/>
        </w:numPr>
      </w:pPr>
      <w:r>
        <w:t xml:space="preserve">Default to reduced motion for mental health audiences</w:t>
      </w:r>
    </w:p>
    <w:p>
      <w:pPr>
        <w:pStyle w:val="ListParagraph"/>
        <w:numPr>
          <w:ilvl w:val="0"/>
          <w:numId w:val="6"/>
        </w:numPr>
      </w:pPr>
      <w:r>
        <w:t xml:space="preserve">2-3 minute session timeout warnings before auto-logout</w:t>
      </w:r>
    </w:p>
    <w:p>
      <w:pPr>
        <w:pStyle w:val="ListParagraph"/>
        <w:numPr>
          <w:ilvl w:val="0"/>
          <w:numId w:val="6"/>
        </w:numPr>
      </w:pPr>
      <w:r>
        <w:t xml:space="preserve">Skip navigation links, proper heading hierarchy (H1→H2→H3)</w:t>
      </w:r>
    </w:p>
    <w:p>
      <w:pPr>
        <w:pStyle w:val="ListParagraph"/>
        <w:numPr>
          <w:ilvl w:val="0"/>
          <w:numId w:val="6"/>
        </w:numPr>
      </w:pPr>
      <w:r>
        <w:t xml:space="preserve">Alt text that describes emotional context of images</w:t>
      </w:r>
    </w:p>
    <w:p>
      <w:pPr>
        <w:pStyle w:val="ListParagraph"/>
        <w:numPr>
          <w:ilvl w:val="0"/>
          <w:numId w:val="6"/>
        </w:numPr>
      </w:pPr>
      <w:r>
        <w:t xml:space="preserve">Full Spanish translation (not partial pages)</w:t>
      </w:r>
    </w:p>
    <w:p>
      <w:pPr>
        <w:pStyle w:val="ListParagraph"/>
        <w:numPr>
          <w:ilvl w:val="0"/>
          <w:numId w:val="6"/>
        </w:numPr>
      </w:pPr>
      <w:r>
        <w:t xml:space="preserve">Form validation supporting non-English character sets</w:t>
      </w:r>
    </w:p>
    <w:p>
      <w:pPr>
        <w:pStyle w:val="Heading1"/>
      </w:pPr>
      <w:r>
        <w:t xml:space="preserve">7. MENTAL HEALTH vs WELLNESS SERVICE DIFFERENTIATION</w:t>
      </w:r>
    </w:p>
    <w:p>
      <w:pPr>
        <w:spacing w:after="120"/>
      </w:pPr>
      <w:r>
        <w:t xml:space="preserve">New York regulates these service types differently. The platform must route users appropriately.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ASPECT</w:t>
            </w:r>
          </w:p>
        </w:tc>
        <w:tc>
          <w:tcPr>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MENTAL HEALTH</w:t>
            </w:r>
          </w:p>
        </w:tc>
        <w:tc>
          <w:tcPr>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WELLNESS</w:t>
            </w:r>
          </w:p>
        </w:tc>
      </w:tr>
      <w:tr>
        <w:tc>
          <w:tcPr>
            <w:tcBorders>
              <w:top w:val="single" w:color="CCCCCC" w:sz="1"/>
              <w:left w:val="single" w:color="CCCCCC" w:sz="1"/>
              <w:bottom w:val="single" w:color="CCCCCC" w:sz="1"/>
              <w:right w:val="single" w:color="CCCCCC" w:sz="1"/>
            </w:tcBorders>
          </w:tcPr>
          <w:p>
            <w:r>
              <w:rPr>
                <w:b/>
                <w:bCs/>
                <w:sz w:val="20"/>
                <w:szCs w:val="20"/>
              </w:rPr>
              <w:t xml:space="preserve">Services</w:t>
            </w:r>
          </w:p>
        </w:tc>
        <w:tc>
          <w:tcPr>
            <w:tcBorders>
              <w:top w:val="single" w:color="CCCCCC" w:sz="1"/>
              <w:left w:val="single" w:color="CCCCCC" w:sz="1"/>
              <w:bottom w:val="single" w:color="CCCCCC" w:sz="1"/>
              <w:right w:val="single" w:color="CCCCCC" w:sz="1"/>
            </w:tcBorders>
          </w:tcPr>
          <w:p>
            <w:r>
              <w:rPr>
                <w:sz w:val="20"/>
                <w:szCs w:val="20"/>
              </w:rPr>
              <w:t xml:space="preserve">Psychotherapy, Counseling, Psychiatric Care</w:t>
            </w:r>
          </w:p>
        </w:tc>
        <w:tc>
          <w:tcPr>
            <w:tcBorders>
              <w:top w:val="single" w:color="CCCCCC" w:sz="1"/>
              <w:left w:val="single" w:color="CCCCCC" w:sz="1"/>
              <w:bottom w:val="single" w:color="CCCCCC" w:sz="1"/>
              <w:right w:val="single" w:color="CCCCCC" w:sz="1"/>
            </w:tcBorders>
          </w:tcPr>
          <w:p>
            <w:r>
              <w:rPr>
                <w:sz w:val="20"/>
                <w:szCs w:val="20"/>
              </w:rPr>
              <w:t xml:space="preserve">Acupuncture, Massage, Nutrition Counseling</w:t>
            </w:r>
          </w:p>
        </w:tc>
      </w:tr>
      <w:tr>
        <w:tc>
          <w:tcPr>
            <w:tcBorders>
              <w:top w:val="single" w:color="CCCCCC" w:sz="1"/>
              <w:left w:val="single" w:color="CCCCCC" w:sz="1"/>
              <w:bottom w:val="single" w:color="CCCCCC" w:sz="1"/>
              <w:right w:val="single" w:color="CCCCCC" w:sz="1"/>
            </w:tcBorders>
          </w:tcPr>
          <w:p>
            <w:r>
              <w:rPr>
                <w:b/>
                <w:bCs/>
                <w:sz w:val="20"/>
                <w:szCs w:val="20"/>
              </w:rPr>
              <w:t xml:space="preserve">Regulating Body</w:t>
            </w:r>
          </w:p>
        </w:tc>
        <w:tc>
          <w:tcPr>
            <w:tcBorders>
              <w:top w:val="single" w:color="CCCCCC" w:sz="1"/>
              <w:left w:val="single" w:color="CCCCCC" w:sz="1"/>
              <w:bottom w:val="single" w:color="CCCCCC" w:sz="1"/>
              <w:right w:val="single" w:color="CCCCCC" w:sz="1"/>
            </w:tcBorders>
          </w:tcPr>
          <w:p>
            <w:r>
              <w:rPr>
                <w:sz w:val="20"/>
                <w:szCs w:val="20"/>
              </w:rPr>
              <w:t xml:space="preserve">NY Office of Mental Health (OMH)</w:t>
            </w:r>
          </w:p>
        </w:tc>
        <w:tc>
          <w:tcPr>
            <w:tcBorders>
              <w:top w:val="single" w:color="CCCCCC" w:sz="1"/>
              <w:left w:val="single" w:color="CCCCCC" w:sz="1"/>
              <w:bottom w:val="single" w:color="CCCCCC" w:sz="1"/>
              <w:right w:val="single" w:color="CCCCCC" w:sz="1"/>
            </w:tcBorders>
          </w:tcPr>
          <w:p>
            <w:r>
              <w:rPr>
                <w:sz w:val="20"/>
                <w:szCs w:val="20"/>
              </w:rPr>
              <w:t xml:space="preserve">NY State Education Dept (NYSED)</w:t>
            </w:r>
          </w:p>
        </w:tc>
      </w:tr>
      <w:tr>
        <w:tc>
          <w:tcPr>
            <w:tcBorders>
              <w:top w:val="single" w:color="CCCCCC" w:sz="1"/>
              <w:left w:val="single" w:color="CCCCCC" w:sz="1"/>
              <w:bottom w:val="single" w:color="CCCCCC" w:sz="1"/>
              <w:right w:val="single" w:color="CCCCCC" w:sz="1"/>
            </w:tcBorders>
          </w:tcPr>
          <w:p>
            <w:r>
              <w:rPr>
                <w:b/>
                <w:bCs/>
                <w:sz w:val="20"/>
                <w:szCs w:val="20"/>
              </w:rPr>
              <w:t xml:space="preserve">HIPAA Applies</w:t>
            </w:r>
          </w:p>
        </w:tc>
        <w:tc>
          <w:tcPr>
            <w:tcBorders>
              <w:top w:val="single" w:color="CCCCCC" w:sz="1"/>
              <w:left w:val="single" w:color="CCCCCC" w:sz="1"/>
              <w:bottom w:val="single" w:color="CCCCCC" w:sz="1"/>
              <w:right w:val="single" w:color="CCCCCC" w:sz="1"/>
            </w:tcBorders>
          </w:tcPr>
          <w:p>
            <w:r>
              <w:rPr>
                <w:sz w:val="20"/>
                <w:szCs w:val="20"/>
              </w:rPr>
              <w:t xml:space="preserve">Always (electronic billing)</w:t>
            </w:r>
          </w:p>
        </w:tc>
        <w:tc>
          <w:tcPr>
            <w:tcBorders>
              <w:top w:val="single" w:color="CCCCCC" w:sz="1"/>
              <w:left w:val="single" w:color="CCCCCC" w:sz="1"/>
              <w:bottom w:val="single" w:color="CCCCCC" w:sz="1"/>
              <w:right w:val="single" w:color="CCCCCC" w:sz="1"/>
            </w:tcBorders>
          </w:tcPr>
          <w:p>
            <w:r>
              <w:rPr>
                <w:sz w:val="20"/>
                <w:szCs w:val="20"/>
              </w:rPr>
              <w:t xml:space="preserve">Only if billing insurance electronically</w:t>
            </w:r>
          </w:p>
        </w:tc>
      </w:tr>
      <w:tr>
        <w:tc>
          <w:tcPr>
            <w:tcBorders>
              <w:top w:val="single" w:color="CCCCCC" w:sz="1"/>
              <w:left w:val="single" w:color="CCCCCC" w:sz="1"/>
              <w:bottom w:val="single" w:color="CCCCCC" w:sz="1"/>
              <w:right w:val="single" w:color="CCCCCC" w:sz="1"/>
            </w:tcBorders>
          </w:tcPr>
          <w:p>
            <w:r>
              <w:rPr>
                <w:b/>
                <w:bCs/>
                <w:sz w:val="20"/>
                <w:szCs w:val="20"/>
              </w:rPr>
              <w:t xml:space="preserve">Crisis Integration</w:t>
            </w:r>
          </w:p>
        </w:tc>
        <w:tc>
          <w:tcPr>
            <w:tcBorders>
              <w:top w:val="single" w:color="CCCCCC" w:sz="1"/>
              <w:left w:val="single" w:color="CCCCCC" w:sz="1"/>
              <w:bottom w:val="single" w:color="CCCCCC" w:sz="1"/>
              <w:right w:val="single" w:color="CCCCCC" w:sz="1"/>
            </w:tcBorders>
          </w:tcPr>
          <w:p>
            <w:r>
              <w:rPr>
                <w:sz w:val="20"/>
                <w:szCs w:val="20"/>
              </w:rPr>
              <w:t xml:space="preserve">Required (988 on all pages)</w:t>
            </w:r>
          </w:p>
        </w:tc>
        <w:tc>
          <w:tcPr>
            <w:tcBorders>
              <w:top w:val="single" w:color="CCCCCC" w:sz="1"/>
              <w:left w:val="single" w:color="CCCCCC" w:sz="1"/>
              <w:bottom w:val="single" w:color="CCCCCC" w:sz="1"/>
              <w:right w:val="single" w:color="CCCCCC" w:sz="1"/>
            </w:tcBorders>
          </w:tcPr>
          <w:p>
            <w:r>
              <w:rPr>
                <w:sz w:val="20"/>
                <w:szCs w:val="20"/>
              </w:rPr>
              <w:t xml:space="preserve">Recommended (footer placement)</w:t>
            </w:r>
          </w:p>
        </w:tc>
      </w:tr>
      <w:tr>
        <w:tc>
          <w:tcPr>
            <w:tcBorders>
              <w:top w:val="single" w:color="CCCCCC" w:sz="1"/>
              <w:left w:val="single" w:color="CCCCCC" w:sz="1"/>
              <w:bottom w:val="single" w:color="CCCCCC" w:sz="1"/>
              <w:right w:val="single" w:color="CCCCCC" w:sz="1"/>
            </w:tcBorders>
          </w:tcPr>
          <w:p>
            <w:r>
              <w:rPr>
                <w:b/>
                <w:bCs/>
                <w:sz w:val="20"/>
                <w:szCs w:val="20"/>
              </w:rPr>
              <w:t xml:space="preserve">Provider Credential Display</w:t>
            </w:r>
          </w:p>
        </w:tc>
        <w:tc>
          <w:tcPr>
            <w:tcBorders>
              <w:top w:val="single" w:color="CCCCCC" w:sz="1"/>
              <w:left w:val="single" w:color="CCCCCC" w:sz="1"/>
              <w:bottom w:val="single" w:color="CCCCCC" w:sz="1"/>
              <w:right w:val="single" w:color="CCCCCC" w:sz="1"/>
            </w:tcBorders>
          </w:tcPr>
          <w:p>
            <w:r>
              <w:rPr>
                <w:sz w:val="20"/>
                <w:szCs w:val="20"/>
              </w:rPr>
              <w:t xml:space="preserve">License type, number, state</w:t>
            </w:r>
          </w:p>
        </w:tc>
        <w:tc>
          <w:tcPr>
            <w:tcBorders>
              <w:top w:val="single" w:color="CCCCCC" w:sz="1"/>
              <w:left w:val="single" w:color="CCCCCC" w:sz="1"/>
              <w:bottom w:val="single" w:color="CCCCCC" w:sz="1"/>
              <w:right w:val="single" w:color="CCCCCC" w:sz="1"/>
            </w:tcBorders>
          </w:tcPr>
          <w:p>
            <w:r>
              <w:rPr>
                <w:sz w:val="20"/>
                <w:szCs w:val="20"/>
              </w:rPr>
              <w:t xml:space="preserve">License type, number, CE status</w:t>
            </w:r>
          </w:p>
        </w:tc>
      </w:tr>
    </w:tbl>
    <w:p>
      <w:r>
        <w:br w:type="page"/>
      </w:r>
    </w:p>
    <w:p>
      <w:pPr>
        <w:pStyle w:val="Heading1"/>
      </w:pPr>
      <w:r>
        <w:t xml:space="preserve">8. DEVELOPMENT PHASES</w:t>
      </w:r>
    </w:p>
    <w:p>
      <w:pPr>
        <w:pStyle w:val="Heading2"/>
      </w:pPr>
      <w:r>
        <w:t xml:space="preserve">Phase 1A: Foundation (Weeks 1-4)</w:t>
      </w:r>
    </w:p>
    <w:p>
      <w:pPr>
        <w:pStyle w:val="ListParagraph"/>
        <w:numPr>
          <w:ilvl w:val="0"/>
          <w:numId w:val="7"/>
        </w:numPr>
      </w:pPr>
      <w:r>
        <w:t xml:space="preserve">Set up React + Next.js project structure</w:t>
      </w:r>
    </w:p>
    <w:p>
      <w:pPr>
        <w:pStyle w:val="ListParagraph"/>
        <w:numPr>
          <w:ilvl w:val="0"/>
          <w:numId w:val="7"/>
        </w:numPr>
      </w:pPr>
      <w:r>
        <w:t xml:space="preserve">Create design system (colors, typography, components)</w:t>
      </w:r>
    </w:p>
    <w:p>
      <w:pPr>
        <w:pStyle w:val="ListParagraph"/>
        <w:numPr>
          <w:ilvl w:val="0"/>
          <w:numId w:val="7"/>
        </w:numPr>
      </w:pPr>
      <w:r>
        <w:t xml:space="preserve">Build 5 core static pages (Home, About, Services, Locations, Contact)</w:t>
      </w:r>
    </w:p>
    <w:p>
      <w:pPr>
        <w:pStyle w:val="ListParagraph"/>
        <w:numPr>
          <w:ilvl w:val="0"/>
          <w:numId w:val="7"/>
        </w:numPr>
      </w:pPr>
      <w:r>
        <w:t xml:space="preserve">Implement basic contact form with consent checkboxes</w:t>
      </w:r>
    </w:p>
    <w:p>
      <w:pPr>
        <w:pStyle w:val="ListParagraph"/>
        <w:numPr>
          <w:ilvl w:val="0"/>
          <w:numId w:val="7"/>
        </w:numPr>
      </w:pPr>
      <w:r>
        <w:t xml:space="preserve">Add 988 crisis banner (persistent header/footer)</w:t>
      </w:r>
    </w:p>
    <w:p>
      <w:pPr>
        <w:pStyle w:val="ListParagraph"/>
        <w:numPr>
          <w:ilvl w:val="0"/>
          <w:numId w:val="7"/>
        </w:numPr>
      </w:pPr>
      <w:r>
        <w:t xml:space="preserve">Embed Jane booking widgets</w:t>
      </w:r>
    </w:p>
    <w:p>
      <w:pPr>
        <w:pStyle w:val="ListParagraph"/>
        <w:numPr>
          <w:ilvl w:val="0"/>
          <w:numId w:val="7"/>
        </w:numPr>
      </w:pPr>
      <w:r>
        <w:t xml:space="preserve">Deploy to staging</w:t>
      </w:r>
    </w:p>
    <w:p>
      <w:pPr>
        <w:pStyle w:val="Heading2"/>
      </w:pPr>
      <w:r>
        <w:t xml:space="preserve">Phase 1B: Interactivity (Weeks 5-8)</w:t>
      </w:r>
    </w:p>
    <w:p>
      <w:pPr>
        <w:pStyle w:val="ListParagraph"/>
        <w:numPr>
          <w:ilvl w:val="0"/>
          <w:numId w:val="7"/>
        </w:numPr>
      </w:pPr>
      <w:r>
        <w:t xml:space="preserve">Build multi-step intake inquiry form (5-7 steps)</w:t>
      </w:r>
    </w:p>
    <w:p>
      <w:pPr>
        <w:pStyle w:val="ListParagraph"/>
        <w:numPr>
          <w:ilvl w:val="0"/>
          <w:numId w:val="7"/>
        </w:numPr>
      </w:pPr>
      <w:r>
        <w:t xml:space="preserve">Create service finder quiz</w:t>
      </w:r>
    </w:p>
    <w:p>
      <w:pPr>
        <w:pStyle w:val="ListParagraph"/>
        <w:numPr>
          <w:ilvl w:val="0"/>
          <w:numId w:val="7"/>
        </w:numPr>
      </w:pPr>
      <w:r>
        <w:t xml:space="preserve">Add location finder with map integration</w:t>
      </w:r>
    </w:p>
    <w:p>
      <w:pPr>
        <w:pStyle w:val="ListParagraph"/>
        <w:numPr>
          <w:ilvl w:val="0"/>
          <w:numId w:val="7"/>
        </w:numPr>
      </w:pPr>
      <w:r>
        <w:t xml:space="preserve">Implement accessibility widget</w:t>
      </w:r>
    </w:p>
    <w:p>
      <w:pPr>
        <w:pStyle w:val="ListParagraph"/>
        <w:numPr>
          <w:ilvl w:val="0"/>
          <w:numId w:val="7"/>
        </w:numPr>
      </w:pPr>
      <w:r>
        <w:t xml:space="preserve">Add Spanish language toggle</w:t>
      </w:r>
    </w:p>
    <w:p>
      <w:pPr>
        <w:pStyle w:val="ListParagraph"/>
        <w:numPr>
          <w:ilvl w:val="0"/>
          <w:numId w:val="7"/>
        </w:numPr>
      </w:pPr>
      <w:r>
        <w:t xml:space="preserve">WCAG 2.1 AA audit and fixes</w:t>
      </w:r>
    </w:p>
    <w:p>
      <w:pPr>
        <w:pStyle w:val="ListParagraph"/>
        <w:numPr>
          <w:ilvl w:val="0"/>
          <w:numId w:val="7"/>
        </w:numPr>
      </w:pPr>
      <w:r>
        <w:t xml:space="preserve">Form validation and error handling</w:t>
      </w:r>
    </w:p>
    <w:p>
      <w:pPr>
        <w:pStyle w:val="Heading2"/>
      </w:pPr>
      <w:r>
        <w:t xml:space="preserve">Phase 2A: Backend Foundation (Weeks 9-12)</w:t>
      </w:r>
    </w:p>
    <w:p>
      <w:pPr>
        <w:pStyle w:val="ListParagraph"/>
        <w:numPr>
          <w:ilvl w:val="0"/>
          <w:numId w:val="7"/>
        </w:numPr>
      </w:pPr>
      <w:r>
        <w:t xml:space="preserve">Build admin dashboard framework (React SPA)</w:t>
      </w:r>
    </w:p>
    <w:p>
      <w:pPr>
        <w:pStyle w:val="ListParagraph"/>
        <w:numPr>
          <w:ilvl w:val="0"/>
          <w:numId w:val="7"/>
        </w:numPr>
      </w:pPr>
      <w:r>
        <w:t xml:space="preserve">Implement authentication and user roles</w:t>
      </w:r>
    </w:p>
    <w:p>
      <w:pPr>
        <w:pStyle w:val="ListParagraph"/>
        <w:numPr>
          <w:ilvl w:val="0"/>
          <w:numId w:val="7"/>
        </w:numPr>
      </w:pPr>
      <w:r>
        <w:t xml:space="preserve">Create leads management module</w:t>
      </w:r>
    </w:p>
    <w:p>
      <w:pPr>
        <w:pStyle w:val="ListParagraph"/>
        <w:numPr>
          <w:ilvl w:val="0"/>
          <w:numId w:val="7"/>
        </w:numPr>
      </w:pPr>
      <w:r>
        <w:t xml:space="preserve">Set up PostgreSQL database (non-PHI schema)</w:t>
      </w:r>
    </w:p>
    <w:p>
      <w:pPr>
        <w:pStyle w:val="ListParagraph"/>
        <w:numPr>
          <w:ilvl w:val="0"/>
          <w:numId w:val="7"/>
        </w:numPr>
      </w:pPr>
      <w:r>
        <w:t xml:space="preserve">Build Jane iCal import service (hourly sync)</w:t>
      </w:r>
    </w:p>
    <w:p>
      <w:pPr>
        <w:pStyle w:val="ListParagraph"/>
        <w:numPr>
          <w:ilvl w:val="0"/>
          <w:numId w:val="7"/>
        </w:numPr>
      </w:pPr>
      <w:r>
        <w:t xml:space="preserve">Implement consent audit logging</w:t>
      </w:r>
    </w:p>
    <w:p>
      <w:pPr>
        <w:pStyle w:val="Heading2"/>
      </w:pPr>
      <w:r>
        <w:t xml:space="preserve">Phase 2B: Backend Features (Weeks 13-16)</w:t>
      </w:r>
    </w:p>
    <w:p>
      <w:pPr>
        <w:pStyle w:val="ListParagraph"/>
        <w:numPr>
          <w:ilvl w:val="0"/>
          <w:numId w:val="7"/>
        </w:numPr>
      </w:pPr>
      <w:r>
        <w:t xml:space="preserve">Complete appointment display from Jane iCal</w:t>
      </w:r>
    </w:p>
    <w:p>
      <w:pPr>
        <w:pStyle w:val="ListParagraph"/>
        <w:numPr>
          <w:ilvl w:val="0"/>
          <w:numId w:val="7"/>
        </w:numPr>
      </w:pPr>
      <w:r>
        <w:t xml:space="preserve">Build marketing campaign tools (email/SMS)</w:t>
      </w:r>
    </w:p>
    <w:p>
      <w:pPr>
        <w:pStyle w:val="ListParagraph"/>
        <w:numPr>
          <w:ilvl w:val="0"/>
          <w:numId w:val="7"/>
        </w:numPr>
      </w:pPr>
      <w:r>
        <w:t xml:space="preserve">Implement TCPA-compliant opt-out management</w:t>
      </w:r>
    </w:p>
    <w:p>
      <w:pPr>
        <w:pStyle w:val="ListParagraph"/>
        <w:numPr>
          <w:ilvl w:val="0"/>
          <w:numId w:val="7"/>
        </w:numPr>
      </w:pPr>
      <w:r>
        <w:t xml:space="preserve">Build analytics dashboard</w:t>
      </w:r>
    </w:p>
    <w:p>
      <w:pPr>
        <w:pStyle w:val="ListParagraph"/>
        <w:numPr>
          <w:ilvl w:val="0"/>
          <w:numId w:val="7"/>
        </w:numPr>
      </w:pPr>
      <w:r>
        <w:t xml:space="preserve">Create content management interface</w:t>
      </w:r>
    </w:p>
    <w:p>
      <w:pPr>
        <w:pStyle w:val="ListParagraph"/>
        <w:numPr>
          <w:ilvl w:val="0"/>
          <w:numId w:val="7"/>
        </w:numPr>
      </w:pPr>
      <w:r>
        <w:t xml:space="preserve">Staff training and UAT</w:t>
      </w:r>
    </w:p>
    <w:p>
      <w:pPr>
        <w:pStyle w:val="Heading1"/>
      </w:pPr>
      <w:r>
        <w:t xml:space="preserve">9. SAMPLE CONSENT LANGUAGE</w:t>
      </w:r>
    </w:p>
    <w:p>
      <w:pPr>
        <w:spacing w:after="120"/>
      </w:pPr>
      <w:r>
        <w:t xml:space="preserve">Use this exact language for Cursor-built consent forms:</w:t>
      </w:r>
    </w:p>
    <w:p>
      <w:pPr>
        <w:pStyle w:val="Heading3"/>
      </w:pPr>
      <w:r>
        <w:t xml:space="preserve">Contact Form Required Consents:</w:t>
      </w:r>
    </w:p>
    <w:p>
      <w:pPr>
        <w:shd w:fill="f7fafc" w:val="clear"/>
        <w:spacing w:after="60"/>
      </w:pPr>
      <w:r>
        <w:rPr>
          <w:i/>
          <w:iCs/>
          <w:sz w:val="20"/>
          <w:szCs w:val="20"/>
        </w:rPr>
        <w:t xml:space="preserve">☐ I agree to the Privacy Policy and Terms of Service *</w:t>
      </w:r>
    </w:p>
    <w:p>
      <w:pPr>
        <w:pStyle w:val="Heading3"/>
      </w:pPr>
      <w:r>
        <w:t xml:space="preserve">SMS Opt-In (TCPA Compliant):</w:t>
      </w:r>
    </w:p>
    <w:p>
      <w:pPr>
        <w:shd w:fill="f7fafc" w:val="clear"/>
        <w:spacing w:after="60"/>
      </w:pPr>
      <w:r>
        <w:rPr>
          <w:i/>
          <w:iCs/>
          <w:sz w:val="20"/>
          <w:szCs w:val="20"/>
        </w:rPr>
        <w:t xml:space="preserve">☐ I consent to receive appointment reminders and updates via automated SMS to the phone number provided. Message and data rates may apply. Message frequency varies. Reply STOP to opt out at any time. Consent is not a condition of service.</w:t>
      </w:r>
    </w:p>
    <w:p>
      <w:pPr>
        <w:pStyle w:val="Heading3"/>
      </w:pPr>
      <w:r>
        <w:t xml:space="preserve">Marketing Email Opt-In:</w:t>
      </w:r>
    </w:p>
    <w:p>
      <w:pPr>
        <w:shd w:fill="f7fafc" w:val="clear"/>
        <w:spacing w:after="60"/>
      </w:pPr>
      <w:r>
        <w:rPr>
          <w:i/>
          <w:iCs/>
          <w:sz w:val="20"/>
          <w:szCs w:val="20"/>
        </w:rPr>
        <w:t xml:space="preserve">☐ I'd like to receive wellness tips, resources, and special offers via email. You can unsubscribe anytime.</w:t>
      </w:r>
    </w:p>
    <w:p>
      <w:pPr>
        <w:pStyle w:val="Heading3"/>
      </w:pPr>
      <w:r>
        <w:t xml:space="preserve">Good Faith Estimate Website Notice:</w:t>
      </w:r>
    </w:p>
    <w:p>
      <w:pPr>
        <w:shd w:fill="f7fafc" w:val="clear"/>
        <w:spacing w:after="60"/>
      </w:pPr>
      <w:r>
        <w:rPr>
          <w:i/>
          <w:iCs/>
          <w:sz w:val="20"/>
          <w:szCs w:val="20"/>
        </w:rPr>
        <w:t xml:space="preserve">YOUR RIGHT TO A GOOD FAITH ESTIMATE: You have the right to receive a "Good Faith Estimate" explaining how much your mental health care will cost. Under federal law, health care providers must give patients who don't have insurance or who are not using insurance an estimate of the expected charges. For questions about your right to a Good Faith Estimate, visit www.cms.gov/nosurprises.</w:t>
      </w:r>
    </w:p>
    <w:p>
      <w:pPr>
        <w:pStyle w:val="Heading1"/>
      </w:pPr>
      <w:r>
        <w:t xml:space="preserve">10. COMPETITIVE BENCHMARKS (MATCH OR EXCEED)</w:t>
      </w:r>
    </w:p>
    <w:p>
      <w:pPr>
        <w:spacing w:after="120"/>
      </w:pPr>
      <w:r>
        <w:t xml:space="preserve">Research Northwell Health before building any major feature. Key areas to match:</w:t>
      </w:r>
    </w:p>
    <w:p>
      <w:pPr>
        <w:pStyle w:val="ListParagraph"/>
        <w:numPr>
          <w:ilvl w:val="0"/>
          <w:numId w:val="8"/>
        </w:numPr>
      </w:pPr>
      <w:r>
        <w:rPr>
          <w:b/>
          <w:bCs/>
        </w:rPr>
        <w:t xml:space="preserve">Forms-at-Home: </w:t>
      </w:r>
      <w:r>
        <w:t xml:space="preserve">Reminder cadence (5 days before, 1 day before)</w:t>
      </w:r>
    </w:p>
    <w:p>
      <w:pPr>
        <w:pStyle w:val="ListParagraph"/>
        <w:numPr>
          <w:ilvl w:val="0"/>
          <w:numId w:val="8"/>
        </w:numPr>
      </w:pPr>
      <w:r>
        <w:rPr>
          <w:b/>
          <w:bCs/>
        </w:rPr>
        <w:t xml:space="preserve">Telehealth-first messaging: </w:t>
      </w:r>
      <w:r>
        <w:t xml:space="preserve">Position telehealth as primary modality</w:t>
      </w:r>
    </w:p>
    <w:p>
      <w:pPr>
        <w:pStyle w:val="ListParagraph"/>
        <w:numPr>
          <w:ilvl w:val="0"/>
          <w:numId w:val="8"/>
        </w:numPr>
      </w:pPr>
      <w:r>
        <w:rPr>
          <w:b/>
          <w:bCs/>
        </w:rPr>
        <w:t xml:space="preserve">Provider profiles: </w:t>
      </w:r>
      <w:r>
        <w:t xml:space="preserve">Video introductions, first-person bios, specialty badges</w:t>
      </w:r>
    </w:p>
    <w:p>
      <w:pPr>
        <w:pStyle w:val="ListParagraph"/>
        <w:numPr>
          <w:ilvl w:val="0"/>
          <w:numId w:val="8"/>
        </w:numPr>
      </w:pPr>
      <w:r>
        <w:rPr>
          <w:b/>
          <w:bCs/>
        </w:rPr>
        <w:t xml:space="preserve">Insurance display: </w:t>
      </w:r>
      <w:r>
        <w:t xml:space="preserve">Clear list of accepted insurers before booking</w:t>
      </w:r>
    </w:p>
    <w:p>
      <w:pPr>
        <w:spacing w:before="120" w:after="120"/>
      </w:pPr>
      <w:r>
        <w:rPr>
          <w:b/>
          <w:bCs/>
        </w:rPr>
        <w:t xml:space="preserve">Areas to EXCEED Northwell:</w:t>
      </w:r>
    </w:p>
    <w:p>
      <w:pPr>
        <w:pStyle w:val="ListParagraph"/>
        <w:numPr>
          <w:ilvl w:val="0"/>
          <w:numId w:val="8"/>
        </w:numPr>
      </w:pPr>
      <w:r>
        <w:rPr>
          <w:b/>
          <w:bCs/>
        </w:rPr>
        <w:t xml:space="preserve">Appointment availability: </w:t>
      </w:r>
      <w:r>
        <w:t xml:space="preserve">Show real available slots (Headway shows 48-hour availability)</w:t>
      </w:r>
    </w:p>
    <w:p>
      <w:pPr>
        <w:pStyle w:val="ListParagraph"/>
        <w:numPr>
          <w:ilvl w:val="0"/>
          <w:numId w:val="8"/>
        </w:numPr>
      </w:pPr>
      <w:r>
        <w:rPr>
          <w:b/>
          <w:bCs/>
        </w:rPr>
        <w:t xml:space="preserve">Provider matching: </w:t>
      </w:r>
      <w:r>
        <w:t xml:space="preserve">Implement symptom-based matching algorithm</w:t>
      </w:r>
    </w:p>
    <w:p>
      <w:pPr>
        <w:pStyle w:val="ListParagraph"/>
        <w:numPr>
          <w:ilvl w:val="0"/>
          <w:numId w:val="8"/>
        </w:numPr>
      </w:pPr>
      <w:r>
        <w:rPr>
          <w:b/>
          <w:bCs/>
        </w:rPr>
        <w:t xml:space="preserve">Fee transparency: </w:t>
      </w:r>
      <w:r>
        <w:t xml:space="preserve">Display session costs, sliding scale, superbill availability</w:t>
      </w:r>
    </w:p>
    <w:p>
      <w:r>
        <w:br w:type="page"/>
      </w:r>
    </w:p>
    <w:p>
      <w:pPr>
        <w:pStyle w:val="Heading1"/>
      </w:pPr>
      <w:r>
        <w:t xml:space="preserve">11. DESIGN PRINCIPLES</w:t>
      </w:r>
    </w:p>
    <w:p>
      <w:pPr>
        <w:pStyle w:val="Heading2"/>
      </w:pPr>
      <w:r>
        <w:t xml:space="preserve">Frontend Philosophy</w:t>
      </w:r>
    </w:p>
    <w:p>
      <w:pPr>
        <w:pStyle w:val="ListParagraph"/>
        <w:numPr>
          <w:ilvl w:val="0"/>
          <w:numId w:val="8"/>
        </w:numPr>
      </w:pPr>
      <w:r>
        <w:t xml:space="preserve">Calm, easy navigation (reduce cognitive load)</w:t>
      </w:r>
    </w:p>
    <w:p>
      <w:pPr>
        <w:pStyle w:val="ListParagraph"/>
        <w:numPr>
          <w:ilvl w:val="0"/>
          <w:numId w:val="8"/>
        </w:numPr>
      </w:pPr>
      <w:r>
        <w:t xml:space="preserve">Clear visual hierarchy</w:t>
      </w:r>
    </w:p>
    <w:p>
      <w:pPr>
        <w:pStyle w:val="ListParagraph"/>
        <w:numPr>
          <w:ilvl w:val="0"/>
          <w:numId w:val="8"/>
        </w:numPr>
      </w:pPr>
      <w:r>
        <w:t xml:space="preserve">Progressive disclosure (don't overwhelm)</w:t>
      </w:r>
    </w:p>
    <w:p>
      <w:pPr>
        <w:pStyle w:val="ListParagraph"/>
        <w:numPr>
          <w:ilvl w:val="0"/>
          <w:numId w:val="8"/>
        </w:numPr>
      </w:pPr>
      <w:r>
        <w:t xml:space="preserve">Trauma-informed design (no aggressive urgency, no time pressure)</w:t>
      </w:r>
    </w:p>
    <w:p>
      <w:pPr>
        <w:pStyle w:val="ListParagraph"/>
        <w:numPr>
          <w:ilvl w:val="0"/>
          <w:numId w:val="8"/>
        </w:numPr>
      </w:pPr>
      <w:r>
        <w:t xml:space="preserve">Mobile-first responsive</w:t>
      </w:r>
    </w:p>
    <w:p>
      <w:pPr>
        <w:pStyle w:val="ListParagraph"/>
        <w:numPr>
          <w:ilvl w:val="0"/>
          <w:numId w:val="8"/>
        </w:numPr>
      </w:pPr>
      <w:r>
        <w:t xml:space="preserve">Reduced motion as default for mental health contexts</w:t>
      </w:r>
    </w:p>
    <w:p>
      <w:pPr>
        <w:pStyle w:val="Heading2"/>
      </w:pPr>
      <w:r>
        <w:t xml:space="preserve">Backend Philosophy</w:t>
      </w:r>
    </w:p>
    <w:p>
      <w:pPr>
        <w:pStyle w:val="ListParagraph"/>
        <w:numPr>
          <w:ilvl w:val="0"/>
          <w:numId w:val="8"/>
        </w:numPr>
      </w:pPr>
      <w:r>
        <w:t xml:space="preserve">Super easy to use (staff training in minutes, not hours)</w:t>
      </w:r>
    </w:p>
    <w:p>
      <w:pPr>
        <w:pStyle w:val="ListParagraph"/>
        <w:numPr>
          <w:ilvl w:val="0"/>
          <w:numId w:val="8"/>
        </w:numPr>
      </w:pPr>
      <w:r>
        <w:t xml:space="preserve">Intuitive workflows with clear labeling</w:t>
      </w:r>
    </w:p>
    <w:p>
      <w:pPr>
        <w:pStyle w:val="ListParagraph"/>
        <w:numPr>
          <w:ilvl w:val="0"/>
          <w:numId w:val="8"/>
        </w:numPr>
      </w:pPr>
      <w:r>
        <w:t xml:space="preserve">Minimal clicks to complete tasks</w:t>
      </w:r>
    </w:p>
    <w:p>
      <w:pPr>
        <w:pStyle w:val="ListParagraph"/>
        <w:numPr>
          <w:ilvl w:val="0"/>
          <w:numId w:val="8"/>
        </w:numPr>
      </w:pPr>
      <w:r>
        <w:t xml:space="preserve">Forgiving (hard to make mistakes, undo capability)</w:t>
      </w:r>
    </w:p>
    <w:p>
      <w:pPr>
        <w:pStyle w:val="ListParagraph"/>
        <w:numPr>
          <w:ilvl w:val="0"/>
          <w:numId w:val="8"/>
        </w:numPr>
      </w:pPr>
      <w:r>
        <w:t xml:space="preserve">Dashboard answers questions at a glance</w:t>
      </w:r>
    </w:p>
    <w:p>
      <w:pPr>
        <w:pStyle w:val="ListParagraph"/>
        <w:numPr>
          <w:ilvl w:val="0"/>
          <w:numId w:val="8"/>
        </w:numPr>
      </w:pPr>
      <w:r>
        <w:t xml:space="preserve">Design inspiration: Notion, Linear, Stripe</w:t>
      </w:r>
    </w:p>
    <w:p>
      <w:pPr>
        <w:pStyle w:val="Heading1"/>
      </w:pPr>
      <w:r>
        <w:t xml:space="preserve">12. FINAL NOTES</w:t>
      </w:r>
    </w:p>
    <w:p>
      <w:pPr>
        <w:pStyle w:val="ListParagraph"/>
        <w:numPr>
          <w:ilvl w:val="0"/>
          <w:numId w:val="8"/>
        </w:numPr>
      </w:pPr>
      <w:r>
        <w:t xml:space="preserve">Before creating ANY customer-facing content, search for "[content type] best practices New York healthcare 2025"</w:t>
      </w:r>
    </w:p>
    <w:p>
      <w:pPr>
        <w:pStyle w:val="ListParagraph"/>
        <w:numPr>
          <w:ilvl w:val="0"/>
          <w:numId w:val="8"/>
        </w:numPr>
      </w:pPr>
      <w:r>
        <w:t xml:space="preserve">Research Northwell Health's implementation of any feature before building</w:t>
      </w:r>
    </w:p>
    <w:p>
      <w:pPr>
        <w:pStyle w:val="ListParagraph"/>
        <w:numPr>
          <w:ilvl w:val="0"/>
          <w:numId w:val="8"/>
        </w:numPr>
      </w:pPr>
      <w:r>
        <w:t xml:space="preserve">Document compliance notes in code comments with source links</w:t>
      </w:r>
    </w:p>
    <w:p>
      <w:pPr>
        <w:pStyle w:val="ListParagraph"/>
        <w:numPr>
          <w:ilvl w:val="0"/>
          <w:numId w:val="8"/>
        </w:numPr>
      </w:pPr>
      <w:r>
        <w:t xml:space="preserve">Flag areas requiring legal review before launch</w:t>
      </w:r>
    </w:p>
    <w:p>
      <w:pPr>
        <w:pStyle w:val="ListParagraph"/>
        <w:numPr>
          <w:ilvl w:val="0"/>
          <w:numId w:val="8"/>
        </w:numPr>
      </w:pPr>
      <w:r>
        <w:t xml:space="preserve">When in doubt about PHI: don't collect it on the website, let Jane handle it</w:t>
      </w:r>
    </w:p>
    <w:p>
      <w:pPr>
        <w:spacing w:before="360"/>
        <w:jc w:val="center"/>
      </w:pPr>
      <w:r>
        <w:rPr>
          <w:b/>
          <w:bCs/>
          <w:color w:val="718096"/>
        </w:rPr>
        <w:t xml:space="preserve">— END OF DOCUMENT —</w:t>
      </w:r>
    </w:p>
    <w:p>
      <w:pPr>
        <w:jc w:val="center"/>
      </w:pPr>
      <w:r>
        <w:rPr>
          <w:color w:val="a0aec0"/>
          <w:sz w:val="18"/>
          <w:szCs w:val="18"/>
        </w:rPr>
        <w:t xml:space="preserve">Document Version 2.0 | December 2024</w:t>
      </w:r>
    </w:p>
    <w:sectPr>
      <w:headerReference w:type="default" r:id="rId6"/>
      <w:footerReference w:type="default" r:id="rId7"/>
      <w:pgSz w:w="11906" w:h="16838"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18096"/>
        <w:sz w:val="18"/>
        <w:szCs w:val="18"/>
      </w:rPr>
      <w:t xml:space="preserve">Wellness Within / Pathways Within — System Requirements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 w:numId="4">
    <w:abstractNumId w:val="5"/>
    <w:lvlOverride w:ilvl="0">
      <w:startOverride w:val="1"/>
    </w:lvlOverride>
  </w:num>
  <w:num w:numId="5">
    <w:abstractNumId w:val="6"/>
    <w:lvlOverride w:ilvl="0">
      <w:startOverride w:val="1"/>
    </w:lvlOverride>
  </w:num>
  <w:num w:numId="6">
    <w:abstractNumId w:val="8"/>
    <w:lvlOverride w:ilvl="0">
      <w:startOverride w:val="1"/>
    </w:lvlOverride>
  </w:num>
  <w:num w:numId="7">
    <w:abstractNumId w:val="7"/>
    <w:lvlOverride w:ilvl="0">
      <w:startOverride w:val="1"/>
    </w:lvlOverride>
  </w:num>
  <w:num w:numId="8">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Arial" w:cs="Arial" w:eastAsia="Arial" w:hAnsi="Arial"/>
      <w:b/>
      <w:bCs/>
      <w:color w:val="1a365d"/>
      <w:sz w:val="56"/>
      <w:szCs w:val="56"/>
    </w:rPr>
  </w:style>
  <w:style w:type="paragraph" w:styleId="Heading1">
    <w:name w:val="Heading 1"/>
    <w:basedOn w:val="Normal"/>
    <w:next w:val="Normal"/>
    <w:qFormat/>
    <w:pPr>
      <w:spacing w:before="360" w:after="120"/>
      <w:outlineLvl w:val="0"/>
    </w:pPr>
    <w:rPr>
      <w:rFonts w:ascii="Arial" w:cs="Arial" w:eastAsia="Arial" w:hAnsi="Arial"/>
      <w:b/>
      <w:bCs/>
      <w:color w:val="1a365d"/>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2d3748"/>
      <w:sz w:val="26"/>
      <w:szCs w:val="26"/>
    </w:rPr>
  </w:style>
  <w:style w:type="paragraph" w:styleId="Heading3">
    <w:name w:val="Heading 3"/>
    <w:basedOn w:val="Normal"/>
    <w:next w:val="Normal"/>
    <w:qFormat/>
    <w:pPr>
      <w:spacing w:before="240" w:after="80"/>
      <w:outlineLvl w:val="2"/>
    </w:pPr>
    <w:rPr>
      <w:rFonts w:ascii="Arial" w:cs="Arial" w:eastAsia="Arial" w:hAnsi="Arial"/>
      <w:b/>
      <w:b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2025-12-27T14:18:10.912Z</dcterms:created>
  <dcterms:modified xsi:type="dcterms:W3CDTF">2025-12-27T14:18:10.912Z</dcterms:modified>
</cp:coreProperties>
</file>

<file path=docProps/custom.xml><?xml version="1.0" encoding="utf-8"?>
<Properties xmlns="http://schemas.openxmlformats.org/officeDocument/2006/custom-properties" xmlns:vt="http://schemas.openxmlformats.org/officeDocument/2006/docPropsVTypes"/>
</file>