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Inducible Conditional Knockout | Tamoxifen &amp; Doxycycline Inducible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/inducible-conditional-knockout</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inducible conditional knockout mouse models. Tamoxifen inducible CreERT2 and doxycycline regulated systems for temporal gene control.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inducible conditional knockout</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inducible knockout mouse, tamoxifen inducible Cre, CreERT2 mouse, temporal gene deletion</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2100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Inducible Conditional Knockout</w:t>
      </w:r>
    </w:p>
    <w:p w:rsidR="00000000" w:rsidDel="00000000" w:rsidP="00000000" w:rsidRDefault="00000000" w:rsidRPr="00000000" w14:paraId="0000000A">
      <w:pPr>
        <w:rPr/>
      </w:pPr>
      <w:r w:rsidDel="00000000" w:rsidR="00000000" w:rsidRPr="00000000">
        <w:rPr>
          <w:rtl w:val="0"/>
        </w:rPr>
        <w:t xml:space="preserve">Since 1998, Ingenious Targeting Laboratory has completed over 2,500 custom gene targeting projects, including conditional alleles compatible with inducible Cre systems. Our knockout models have supported research published in more than 800 peer reviewed articles, including in  Science, Nature and Cell. </w:t>
      </w:r>
    </w:p>
    <w:p w:rsidR="00000000" w:rsidDel="00000000" w:rsidP="00000000" w:rsidRDefault="00000000" w:rsidRPr="00000000" w14:paraId="0000000B">
      <w:pPr>
        <w:rPr/>
      </w:pPr>
      <w:r w:rsidDel="00000000" w:rsidR="00000000" w:rsidRPr="00000000">
        <w:rPr>
          <w:rtl w:val="0"/>
        </w:rPr>
        <w:t xml:space="preserve">Inducible conditional knockout combines the tissue specificity of conditional gene targeting with temporal control over when deletion occurs. By using tamoxifen inducible CreERT2 or doxycycline regulated systems, researchers can trigger gene deletion at any point in development or adult life, enabling study of gene function independent of developmental requirements and modeling acute versus chronic loss of function phenotypes.</w:t>
      </w:r>
    </w:p>
    <w:p w:rsidR="00000000" w:rsidDel="00000000" w:rsidP="00000000" w:rsidRDefault="00000000" w:rsidRPr="00000000" w14:paraId="0000000C">
      <w:pPr>
        <w:rPr/>
      </w:pPr>
      <w:r w:rsidDel="00000000" w:rsidR="00000000" w:rsidRPr="00000000">
        <w:rPr>
          <w:rtl w:val="0"/>
        </w:rPr>
        <w:t xml:space="preserve">This approach most closely models pharmacological intervention: gene function is normal until the investigator triggers deletion, similar to how a patient would have normal target function until drug treatment begins. Inducible systems provide the gold standard for drug target validation and adult onset disease modeling.</w:t>
      </w:r>
    </w:p>
    <w:p w:rsidR="00000000" w:rsidDel="00000000" w:rsidP="00000000" w:rsidRDefault="00000000" w:rsidRPr="00000000" w14:paraId="0000000D">
      <w:pPr>
        <w:pStyle w:val="Heading1"/>
        <w:rPr/>
      </w:pPr>
      <w:r w:rsidDel="00000000" w:rsidR="00000000" w:rsidRPr="00000000">
        <w:rPr>
          <w:rtl w:val="0"/>
        </w:rPr>
        <w:t xml:space="preserve">How Inducible Systems Work</w:t>
      </w:r>
    </w:p>
    <w:p w:rsidR="00000000" w:rsidDel="00000000" w:rsidP="00000000" w:rsidRDefault="00000000" w:rsidRPr="00000000" w14:paraId="0000000E">
      <w:pPr>
        <w:pStyle w:val="Heading2"/>
        <w:rPr/>
      </w:pPr>
      <w:r w:rsidDel="00000000" w:rsidR="00000000" w:rsidRPr="00000000">
        <w:rPr>
          <w:rtl w:val="0"/>
        </w:rPr>
        <w:t xml:space="preserve">The Two Component System</w:t>
      </w:r>
    </w:p>
    <w:p w:rsidR="00000000" w:rsidDel="00000000" w:rsidP="00000000" w:rsidRDefault="00000000" w:rsidRPr="00000000" w14:paraId="0000000F">
      <w:pPr>
        <w:rPr/>
      </w:pPr>
      <w:r w:rsidDel="00000000" w:rsidR="00000000" w:rsidRPr="00000000">
        <w:rPr>
          <w:rtl w:val="0"/>
        </w:rPr>
        <w:t xml:space="preserve">Inducible conditional knockout requires two genetic components working together:</w:t>
      </w:r>
    </w:p>
    <w:p w:rsidR="00000000" w:rsidDel="00000000" w:rsidP="00000000" w:rsidRDefault="00000000" w:rsidRPr="00000000" w14:paraId="00000010">
      <w:pPr>
        <w:rPr/>
      </w:pPr>
      <w:r w:rsidDel="00000000" w:rsidR="00000000" w:rsidRPr="00000000">
        <w:rPr>
          <w:b w:val="1"/>
          <w:bCs w:val="1"/>
          <w:rtl w:val="0"/>
        </w:rPr>
        <w:t xml:space="preserve">Floxed (Conditional) Allele:</w:t>
      </w:r>
      <w:r w:rsidDel="00000000" w:rsidR="00000000" w:rsidRPr="00000000">
        <w:rPr>
          <w:rtl w:val="0"/>
        </w:rPr>
        <w:t xml:space="preserve"> The target gene contains loxP sites flanking critical exons. The floxed allele functions normally until exposed to Cre recombinase. Ingenious Targeting Laboratory can generate these conditional alleles specific to your research.</w:t>
      </w:r>
    </w:p>
    <w:p w:rsidR="00000000" w:rsidDel="00000000" w:rsidP="00000000" w:rsidRDefault="00000000" w:rsidRPr="00000000" w14:paraId="00000011">
      <w:pPr>
        <w:rPr/>
      </w:pPr>
      <w:r w:rsidDel="00000000" w:rsidR="00000000" w:rsidRPr="00000000">
        <w:rPr>
          <w:b w:val="1"/>
          <w:bCs w:val="1"/>
          <w:rtl w:val="0"/>
        </w:rPr>
        <w:t xml:space="preserve">Inducible Cre Driver:</w:t>
      </w:r>
      <w:r w:rsidDel="00000000" w:rsidR="00000000" w:rsidRPr="00000000">
        <w:rPr>
          <w:rtl w:val="0"/>
        </w:rPr>
        <w:t xml:space="preserve"> A transgenic or knockin line expressing an inducible form of Cre recombinase. Cre activity is suppressed until an inducing agent (tamoxifen or doxycycline) is administered. There are repositories that offer these inducible lines. However, if you need a specialized inducible Cre driver, ingenious target laboratory has the expertise to produce these for you too.</w:t>
      </w:r>
    </w:p>
    <w:p w:rsidR="00000000" w:rsidDel="00000000" w:rsidP="00000000" w:rsidRDefault="00000000" w:rsidRPr="00000000" w14:paraId="00000012">
      <w:pPr>
        <w:rPr/>
      </w:pPr>
      <w:r w:rsidDel="00000000" w:rsidR="00000000" w:rsidRPr="00000000">
        <w:rPr>
          <w:rtl w:val="0"/>
        </w:rPr>
        <w:t xml:space="preserve">When both components are combined in the same animal, gene deletion can be triggered at the time of the investigator's choosing by administering the inducing agent.</w:t>
      </w:r>
    </w:p>
    <w:p w:rsidR="00000000" w:rsidDel="00000000" w:rsidP="00000000" w:rsidRDefault="00000000" w:rsidRPr="00000000" w14:paraId="00000013">
      <w:pPr>
        <w:pStyle w:val="Heading2"/>
        <w:rPr/>
      </w:pPr>
      <w:r w:rsidDel="00000000" w:rsidR="00000000" w:rsidRPr="00000000">
        <w:rPr>
          <w:rtl w:val="0"/>
        </w:rPr>
        <w:t xml:space="preserve">Tamoxifen Inducible (CreERT2) System</w:t>
      </w:r>
    </w:p>
    <w:p w:rsidR="00000000" w:rsidDel="00000000" w:rsidP="00000000" w:rsidRDefault="00000000" w:rsidRPr="00000000" w14:paraId="00000014">
      <w:pPr>
        <w:rPr/>
      </w:pPr>
      <w:r w:rsidDel="00000000" w:rsidR="00000000" w:rsidRPr="00000000">
        <w:rPr>
          <w:rtl w:val="0"/>
        </w:rPr>
        <w:t xml:space="preserve">CreERT2 is the most widely used inducible Cre system. It consists of Cre recombinase fused to a modified estrogen receptor ligand binding domain: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absence of tamoxifen, CreERT2 is sequestered in the cytoplasm</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Tamoxifen (or its metabolite 4 hydroxytamoxifen) binds the modified estrogen receptor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Ligand binding triggers nuclear translocation of CreERT2</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Nuclear Cre catalyzes recombination between loxP sites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 deletion is permanent once recombination occurs</w:t>
      </w:r>
    </w:p>
    <w:p w:rsidR="00000000" w:rsidDel="00000000" w:rsidP="00000000" w:rsidRDefault="00000000" w:rsidRPr="00000000" w14:paraId="0000001A">
      <w:pPr>
        <w:rPr/>
      </w:pPr>
      <w:r w:rsidDel="00000000" w:rsidR="00000000" w:rsidRPr="00000000">
        <w:rPr>
          <w:rtl w:val="0"/>
        </w:rPr>
        <w:t xml:space="preserve">Recombination typically occurs within days of tamoxifen administration, with maximal deletion achieved by 1 to 2 weeks post treatment depending on dosing regimen.</w:t>
      </w:r>
    </w:p>
    <w:p w:rsidR="00000000" w:rsidDel="00000000" w:rsidP="00000000" w:rsidRDefault="00000000" w:rsidRPr="00000000" w14:paraId="0000001B">
      <w:pPr>
        <w:pStyle w:val="Heading2"/>
        <w:rPr/>
      </w:pPr>
      <w:r w:rsidDel="00000000" w:rsidR="00000000" w:rsidRPr="00000000">
        <w:rPr>
          <w:rtl w:val="0"/>
        </w:rPr>
        <w:t xml:space="preserve">Doxycycline Inducible (Tet) Systems</w:t>
      </w:r>
    </w:p>
    <w:p w:rsidR="00000000" w:rsidDel="00000000" w:rsidP="00000000" w:rsidRDefault="00000000" w:rsidRPr="00000000" w14:paraId="0000001C">
      <w:pPr>
        <w:rPr/>
      </w:pPr>
      <w:r w:rsidDel="00000000" w:rsidR="00000000" w:rsidRPr="00000000">
        <w:rPr>
          <w:rtl w:val="0"/>
        </w:rPr>
        <w:t xml:space="preserve">Tetracycline regulated systems use doxycycline to control gene expression:</w:t>
      </w:r>
    </w:p>
    <w:tbl>
      <w:tblPr>
        <w:tblStyle w:val="Table1"/>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D">
            <w:pPr>
              <w:rPr/>
            </w:pPr>
            <w:r w:rsidDel="00000000" w:rsidR="00000000" w:rsidRPr="00000000">
              <w:rPr>
                <w:rtl w:val="0"/>
              </w:rPr>
              <w:t xml:space="preserve">System</w:t>
            </w:r>
          </w:p>
        </w:tc>
        <w:tc>
          <w:tcPr/>
          <w:p w:rsidR="00000000" w:rsidDel="00000000" w:rsidP="00000000" w:rsidRDefault="00000000" w:rsidRPr="00000000" w14:paraId="0000001E">
            <w:pPr>
              <w:rPr/>
            </w:pPr>
            <w:r w:rsidDel="00000000" w:rsidR="00000000" w:rsidRPr="00000000">
              <w:rPr>
                <w:rtl w:val="0"/>
              </w:rPr>
              <w:t xml:space="preserve">Mechanism</w:t>
            </w:r>
          </w:p>
        </w:tc>
        <w:tc>
          <w:tcPr/>
          <w:p w:rsidR="00000000" w:rsidDel="00000000" w:rsidP="00000000" w:rsidRDefault="00000000" w:rsidRPr="00000000" w14:paraId="0000001F">
            <w:pPr>
              <w:rPr/>
            </w:pPr>
            <w:r w:rsidDel="00000000" w:rsidR="00000000" w:rsidRPr="00000000">
              <w:rPr>
                <w:rtl w:val="0"/>
              </w:rPr>
              <w:t xml:space="preserve">Dox Effect</w:t>
            </w:r>
          </w:p>
        </w:tc>
        <w:tc>
          <w:tcPr/>
          <w:p w:rsidR="00000000" w:rsidDel="00000000" w:rsidP="00000000" w:rsidRDefault="00000000" w:rsidRPr="00000000" w14:paraId="00000020">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Tet On</w:t>
            </w:r>
          </w:p>
        </w:tc>
        <w:tc>
          <w:tcPr/>
          <w:p w:rsidR="00000000" w:rsidDel="00000000" w:rsidP="00000000" w:rsidRDefault="00000000" w:rsidRPr="00000000" w14:paraId="00000022">
            <w:pPr>
              <w:rPr/>
            </w:pPr>
            <w:r w:rsidDel="00000000" w:rsidR="00000000" w:rsidRPr="00000000">
              <w:rPr>
                <w:rtl w:val="0"/>
              </w:rPr>
              <w:t xml:space="preserve">rtTA activates TRE promoter</w:t>
            </w:r>
          </w:p>
        </w:tc>
        <w:tc>
          <w:tcPr/>
          <w:p w:rsidR="00000000" w:rsidDel="00000000" w:rsidP="00000000" w:rsidRDefault="00000000" w:rsidRPr="00000000" w14:paraId="00000023">
            <w:pPr>
              <w:rPr/>
            </w:pPr>
            <w:r w:rsidDel="00000000" w:rsidR="00000000" w:rsidRPr="00000000">
              <w:rPr>
                <w:rtl w:val="0"/>
              </w:rPr>
              <w:t xml:space="preserve">Dox induces Cre expression</w:t>
            </w:r>
          </w:p>
        </w:tc>
        <w:tc>
          <w:tcPr/>
          <w:p w:rsidR="00000000" w:rsidDel="00000000" w:rsidP="00000000" w:rsidRDefault="00000000" w:rsidRPr="00000000" w14:paraId="00000024">
            <w:pPr>
              <w:rPr/>
            </w:pPr>
            <w:r w:rsidDel="00000000" w:rsidR="00000000" w:rsidRPr="00000000">
              <w:rPr>
                <w:rtl w:val="0"/>
              </w:rPr>
              <w:t xml:space="preserve">Timed gene deletion</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Tet Off</w:t>
            </w:r>
          </w:p>
        </w:tc>
        <w:tc>
          <w:tcPr/>
          <w:p w:rsidR="00000000" w:rsidDel="00000000" w:rsidP="00000000" w:rsidRDefault="00000000" w:rsidRPr="00000000" w14:paraId="00000026">
            <w:pPr>
              <w:rPr/>
            </w:pPr>
            <w:r w:rsidDel="00000000" w:rsidR="00000000" w:rsidRPr="00000000">
              <w:rPr>
                <w:rtl w:val="0"/>
              </w:rPr>
              <w:t xml:space="preserve">tTA activates TRE promoter</w:t>
            </w:r>
          </w:p>
        </w:tc>
        <w:tc>
          <w:tcPr/>
          <w:p w:rsidR="00000000" w:rsidDel="00000000" w:rsidP="00000000" w:rsidRDefault="00000000" w:rsidRPr="00000000" w14:paraId="00000027">
            <w:pPr>
              <w:rPr/>
            </w:pPr>
            <w:r w:rsidDel="00000000" w:rsidR="00000000" w:rsidRPr="00000000">
              <w:rPr>
                <w:rtl w:val="0"/>
              </w:rPr>
              <w:t xml:space="preserve">Dox suppresses Cre expression</w:t>
            </w:r>
          </w:p>
        </w:tc>
        <w:tc>
          <w:tcPr/>
          <w:p w:rsidR="00000000" w:rsidDel="00000000" w:rsidP="00000000" w:rsidRDefault="00000000" w:rsidRPr="00000000" w14:paraId="00000028">
            <w:pPr>
              <w:rPr/>
            </w:pPr>
            <w:r w:rsidDel="00000000" w:rsidR="00000000" w:rsidRPr="00000000">
              <w:rPr>
                <w:rtl w:val="0"/>
              </w:rPr>
              <w:t xml:space="preserve">Continuous expression until suppressed</w:t>
            </w:r>
          </w:p>
        </w:tc>
      </w:tr>
    </w:tbl>
    <w:p w:rsidR="00000000" w:rsidDel="00000000" w:rsidP="00000000" w:rsidRDefault="00000000" w:rsidRPr="00000000" w14:paraId="00000029">
      <w:pPr>
        <w:rPr/>
      </w:pPr>
      <w:r w:rsidDel="00000000" w:rsidR="00000000" w:rsidRPr="00000000">
        <w:rPr>
          <w:rtl w:val="0"/>
        </w:rPr>
        <w:t xml:space="preserve">Unlike CreERT2 where deletion is permanent, Tet systems controlling Cre expression can provide ongoing control. However, once recombination occurs at a locus, that deletion is irreversible regardless of subsequent doxycycline manipulation.</w:t>
      </w:r>
    </w:p>
    <w:p w:rsidR="00000000" w:rsidDel="00000000" w:rsidP="00000000" w:rsidRDefault="00000000" w:rsidRPr="00000000" w14:paraId="0000002A">
      <w:pPr>
        <w:pStyle w:val="Heading1"/>
        <w:rPr/>
      </w:pPr>
      <w:r w:rsidDel="00000000" w:rsidR="00000000" w:rsidRPr="00000000">
        <w:rPr>
          <w:rtl w:val="0"/>
        </w:rPr>
        <w:t xml:space="preserve">Common Inducible Cre Drivers</w:t>
      </w:r>
    </w:p>
    <w:p w:rsidR="00000000" w:rsidDel="00000000" w:rsidP="00000000" w:rsidRDefault="00000000" w:rsidRPr="00000000" w14:paraId="0000002B">
      <w:pPr>
        <w:pStyle w:val="Heading2"/>
        <w:rPr/>
      </w:pPr>
      <w:r w:rsidDel="00000000" w:rsidR="00000000" w:rsidRPr="00000000">
        <w:rPr>
          <w:rtl w:val="0"/>
        </w:rPr>
        <w:t xml:space="preserve">Ubiquitous Inducible Cre</w:t>
      </w:r>
    </w:p>
    <w:p w:rsidR="00000000" w:rsidDel="00000000" w:rsidP="00000000" w:rsidRDefault="00000000" w:rsidRPr="00000000" w14:paraId="0000002C">
      <w:pPr>
        <w:rPr/>
      </w:pPr>
      <w:r w:rsidDel="00000000" w:rsidR="00000000" w:rsidRPr="00000000">
        <w:rPr>
          <w:rtl w:val="0"/>
        </w:rPr>
        <w:t xml:space="preserve">Ubiquitous CreERT2 drivers enable global gene deletion in adult animals:</w:t>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D">
            <w:pPr>
              <w:rPr/>
            </w:pPr>
            <w:r w:rsidDel="00000000" w:rsidR="00000000" w:rsidRPr="00000000">
              <w:rPr>
                <w:rtl w:val="0"/>
              </w:rPr>
              <w:t xml:space="preserve">Driver</w:t>
            </w:r>
          </w:p>
        </w:tc>
        <w:tc>
          <w:tcPr/>
          <w:p w:rsidR="00000000" w:rsidDel="00000000" w:rsidP="00000000" w:rsidRDefault="00000000" w:rsidRPr="00000000" w14:paraId="0000002E">
            <w:pPr>
              <w:rPr/>
            </w:pPr>
            <w:r w:rsidDel="00000000" w:rsidR="00000000" w:rsidRPr="00000000">
              <w:rPr>
                <w:rtl w:val="0"/>
              </w:rPr>
              <w:t xml:space="preserve">Expression Pattern</w:t>
            </w:r>
          </w:p>
        </w:tc>
        <w:tc>
          <w:tcPr/>
          <w:p w:rsidR="00000000" w:rsidDel="00000000" w:rsidP="00000000" w:rsidRDefault="00000000" w:rsidRPr="00000000" w14:paraId="0000002F">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Rosa26 CreERT2</w:t>
            </w:r>
          </w:p>
        </w:tc>
        <w:tc>
          <w:tcPr/>
          <w:p w:rsidR="00000000" w:rsidDel="00000000" w:rsidP="00000000" w:rsidRDefault="00000000" w:rsidRPr="00000000" w14:paraId="00000031">
            <w:pPr>
              <w:rPr/>
            </w:pPr>
            <w:r w:rsidDel="00000000" w:rsidR="00000000" w:rsidRPr="00000000">
              <w:rPr>
                <w:rtl w:val="0"/>
              </w:rPr>
              <w:t xml:space="preserve">Ubiquitous</w:t>
            </w:r>
          </w:p>
        </w:tc>
        <w:tc>
          <w:tcPr/>
          <w:p w:rsidR="00000000" w:rsidDel="00000000" w:rsidP="00000000" w:rsidRDefault="00000000" w:rsidRPr="00000000" w14:paraId="00000032">
            <w:pPr>
              <w:rPr/>
            </w:pPr>
            <w:r w:rsidDel="00000000" w:rsidR="00000000" w:rsidRPr="00000000">
              <w:rPr>
                <w:rtl w:val="0"/>
              </w:rPr>
              <w:t xml:space="preserve">Global adult deletion</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CAG CreERT2</w:t>
            </w:r>
          </w:p>
        </w:tc>
        <w:tc>
          <w:tcPr/>
          <w:p w:rsidR="00000000" w:rsidDel="00000000" w:rsidP="00000000" w:rsidRDefault="00000000" w:rsidRPr="00000000" w14:paraId="00000034">
            <w:pPr>
              <w:rPr/>
            </w:pPr>
            <w:r w:rsidDel="00000000" w:rsidR="00000000" w:rsidRPr="00000000">
              <w:rPr>
                <w:rtl w:val="0"/>
              </w:rPr>
              <w:t xml:space="preserve">Ubiquitous strong</w:t>
            </w:r>
          </w:p>
        </w:tc>
        <w:tc>
          <w:tcPr/>
          <w:p w:rsidR="00000000" w:rsidDel="00000000" w:rsidP="00000000" w:rsidRDefault="00000000" w:rsidRPr="00000000" w14:paraId="00000035">
            <w:pPr>
              <w:rPr/>
            </w:pPr>
            <w:r w:rsidDel="00000000" w:rsidR="00000000" w:rsidRPr="00000000">
              <w:rPr>
                <w:rtl w:val="0"/>
              </w:rPr>
              <w:t xml:space="preserve">High efficiency global deletion</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UBC CreERT2</w:t>
            </w:r>
          </w:p>
        </w:tc>
        <w:tc>
          <w:tcPr/>
          <w:p w:rsidR="00000000" w:rsidDel="00000000" w:rsidP="00000000" w:rsidRDefault="00000000" w:rsidRPr="00000000" w14:paraId="00000037">
            <w:pPr>
              <w:rPr/>
            </w:pPr>
            <w:r w:rsidDel="00000000" w:rsidR="00000000" w:rsidRPr="00000000">
              <w:rPr>
                <w:rtl w:val="0"/>
              </w:rPr>
              <w:t xml:space="preserve">Ubiquitous</w:t>
            </w:r>
          </w:p>
        </w:tc>
        <w:tc>
          <w:tcPr/>
          <w:p w:rsidR="00000000" w:rsidDel="00000000" w:rsidP="00000000" w:rsidRDefault="00000000" w:rsidRPr="00000000" w14:paraId="00000038">
            <w:pPr>
              <w:rPr/>
            </w:pPr>
            <w:r w:rsidDel="00000000" w:rsidR="00000000" w:rsidRPr="00000000">
              <w:rPr>
                <w:rtl w:val="0"/>
              </w:rPr>
              <w:t xml:space="preserve">Global adult deletion</w:t>
            </w:r>
          </w:p>
        </w:tc>
      </w:tr>
    </w:tbl>
    <w:p w:rsidR="00000000" w:rsidDel="00000000" w:rsidP="00000000" w:rsidRDefault="00000000" w:rsidRPr="00000000" w14:paraId="00000039">
      <w:pPr>
        <w:rPr/>
      </w:pPr>
      <w:r w:rsidDel="00000000" w:rsidR="00000000" w:rsidRPr="00000000">
        <w:rPr>
          <w:rtl w:val="0"/>
        </w:rPr>
        <w:t xml:space="preserve">Ubiquitous drivers provide adult onset global knockout, bypassing developmental lethality while achieving widespread gene deletion.</w:t>
      </w:r>
    </w:p>
    <w:p w:rsidR="00000000" w:rsidDel="00000000" w:rsidP="00000000" w:rsidRDefault="00000000" w:rsidRPr="00000000" w14:paraId="0000003A">
      <w:pPr>
        <w:pStyle w:val="Heading2"/>
        <w:rPr/>
      </w:pPr>
      <w:r w:rsidDel="00000000" w:rsidR="00000000" w:rsidRPr="00000000">
        <w:rPr>
          <w:rtl w:val="0"/>
        </w:rPr>
        <w:t xml:space="preserve">Tissue Specific Inducible Cre</w:t>
      </w:r>
    </w:p>
    <w:p w:rsidR="00000000" w:rsidDel="00000000" w:rsidP="00000000" w:rsidRDefault="00000000" w:rsidRPr="00000000" w14:paraId="0000003B">
      <w:pPr>
        <w:rPr/>
      </w:pPr>
      <w:r w:rsidDel="00000000" w:rsidR="00000000" w:rsidRPr="00000000">
        <w:rPr>
          <w:rtl w:val="0"/>
        </w:rPr>
        <w:t xml:space="preserve">Tissue specific CreERT2 drivers combine spatial and temporal control:</w:t>
      </w:r>
    </w:p>
    <w:tbl>
      <w:tblPr>
        <w:tblStyle w:val="Table3"/>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C">
            <w:pPr>
              <w:rPr/>
            </w:pPr>
            <w:r w:rsidDel="00000000" w:rsidR="00000000" w:rsidRPr="00000000">
              <w:rPr>
                <w:rtl w:val="0"/>
              </w:rPr>
              <w:t xml:space="preserve">Driver</w:t>
            </w:r>
          </w:p>
        </w:tc>
        <w:tc>
          <w:tcPr/>
          <w:p w:rsidR="00000000" w:rsidDel="00000000" w:rsidP="00000000" w:rsidRDefault="00000000" w:rsidRPr="00000000" w14:paraId="0000003D">
            <w:pPr>
              <w:rPr/>
            </w:pPr>
            <w:r w:rsidDel="00000000" w:rsidR="00000000" w:rsidRPr="00000000">
              <w:rPr>
                <w:rtl w:val="0"/>
              </w:rPr>
              <w:t xml:space="preserve">Target Tissue</w:t>
            </w:r>
          </w:p>
        </w:tc>
        <w:tc>
          <w:tcPr/>
          <w:p w:rsidR="00000000" w:rsidDel="00000000" w:rsidP="00000000" w:rsidRDefault="00000000" w:rsidRPr="00000000" w14:paraId="0000003E">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Albumin CreERT2</w:t>
            </w:r>
          </w:p>
        </w:tc>
        <w:tc>
          <w:tcPr/>
          <w:p w:rsidR="00000000" w:rsidDel="00000000" w:rsidP="00000000" w:rsidRDefault="00000000" w:rsidRPr="00000000" w14:paraId="00000040">
            <w:pPr>
              <w:rPr/>
            </w:pPr>
            <w:r w:rsidDel="00000000" w:rsidR="00000000" w:rsidRPr="00000000">
              <w:rPr>
                <w:rtl w:val="0"/>
              </w:rPr>
              <w:t xml:space="preserve">Hepatocytes</w:t>
            </w:r>
          </w:p>
        </w:tc>
        <w:tc>
          <w:tcPr/>
          <w:p w:rsidR="00000000" w:rsidDel="00000000" w:rsidP="00000000" w:rsidRDefault="00000000" w:rsidRPr="00000000" w14:paraId="00000041">
            <w:pPr>
              <w:rPr/>
            </w:pPr>
            <w:r w:rsidDel="00000000" w:rsidR="00000000" w:rsidRPr="00000000">
              <w:rPr>
                <w:rtl w:val="0"/>
              </w:rPr>
              <w:t xml:space="preserve">Adult liver metabolism</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Adiponectin CreERT2</w:t>
            </w:r>
          </w:p>
        </w:tc>
        <w:tc>
          <w:tcPr/>
          <w:p w:rsidR="00000000" w:rsidDel="00000000" w:rsidP="00000000" w:rsidRDefault="00000000" w:rsidRPr="00000000" w14:paraId="00000043">
            <w:pPr>
              <w:rPr/>
            </w:pPr>
            <w:r w:rsidDel="00000000" w:rsidR="00000000" w:rsidRPr="00000000">
              <w:rPr>
                <w:rtl w:val="0"/>
              </w:rPr>
              <w:t xml:space="preserve">Adipocytes</w:t>
            </w:r>
          </w:p>
        </w:tc>
        <w:tc>
          <w:tcPr/>
          <w:p w:rsidR="00000000" w:rsidDel="00000000" w:rsidP="00000000" w:rsidRDefault="00000000" w:rsidRPr="00000000" w14:paraId="00000044">
            <w:pPr>
              <w:rPr/>
            </w:pPr>
            <w:r w:rsidDel="00000000" w:rsidR="00000000" w:rsidRPr="00000000">
              <w:rPr>
                <w:rtl w:val="0"/>
              </w:rPr>
              <w:t xml:space="preserve">Adult adipose function</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CamKII CreERT2</w:t>
            </w:r>
          </w:p>
        </w:tc>
        <w:tc>
          <w:tcPr/>
          <w:p w:rsidR="00000000" w:rsidDel="00000000" w:rsidP="00000000" w:rsidRDefault="00000000" w:rsidRPr="00000000" w14:paraId="00000046">
            <w:pPr>
              <w:rPr/>
            </w:pPr>
            <w:r w:rsidDel="00000000" w:rsidR="00000000" w:rsidRPr="00000000">
              <w:rPr>
                <w:rtl w:val="0"/>
              </w:rPr>
              <w:t xml:space="preserve">Forebrain neurons</w:t>
            </w:r>
          </w:p>
        </w:tc>
        <w:tc>
          <w:tcPr/>
          <w:p w:rsidR="00000000" w:rsidDel="00000000" w:rsidP="00000000" w:rsidRDefault="00000000" w:rsidRPr="00000000" w14:paraId="00000047">
            <w:pPr>
              <w:rPr/>
            </w:pPr>
            <w:r w:rsidDel="00000000" w:rsidR="00000000" w:rsidRPr="00000000">
              <w:rPr>
                <w:rtl w:val="0"/>
              </w:rPr>
              <w:t xml:space="preserve">Adult neural function</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Myh6 CreERT2</w:t>
            </w:r>
          </w:p>
        </w:tc>
        <w:tc>
          <w:tcPr/>
          <w:p w:rsidR="00000000" w:rsidDel="00000000" w:rsidP="00000000" w:rsidRDefault="00000000" w:rsidRPr="00000000" w14:paraId="00000049">
            <w:pPr>
              <w:rPr/>
            </w:pPr>
            <w:r w:rsidDel="00000000" w:rsidR="00000000" w:rsidRPr="00000000">
              <w:rPr>
                <w:rtl w:val="0"/>
              </w:rPr>
              <w:t xml:space="preserve">Cardiomyocytes</w:t>
            </w:r>
          </w:p>
        </w:tc>
        <w:tc>
          <w:tcPr/>
          <w:p w:rsidR="00000000" w:rsidDel="00000000" w:rsidP="00000000" w:rsidRDefault="00000000" w:rsidRPr="00000000" w14:paraId="0000004A">
            <w:pPr>
              <w:rPr/>
            </w:pPr>
            <w:r w:rsidDel="00000000" w:rsidR="00000000" w:rsidRPr="00000000">
              <w:rPr>
                <w:rtl w:val="0"/>
              </w:rPr>
              <w:t xml:space="preserve">Adult cardiac function</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LysM CreERT2</w:t>
            </w:r>
          </w:p>
        </w:tc>
        <w:tc>
          <w:tcPr/>
          <w:p w:rsidR="00000000" w:rsidDel="00000000" w:rsidP="00000000" w:rsidRDefault="00000000" w:rsidRPr="00000000" w14:paraId="0000004C">
            <w:pPr>
              <w:rPr/>
            </w:pPr>
            <w:r w:rsidDel="00000000" w:rsidR="00000000" w:rsidRPr="00000000">
              <w:rPr>
                <w:rtl w:val="0"/>
              </w:rPr>
              <w:t xml:space="preserve">Macrophages</w:t>
            </w:r>
          </w:p>
        </w:tc>
        <w:tc>
          <w:tcPr/>
          <w:p w:rsidR="00000000" w:rsidDel="00000000" w:rsidP="00000000" w:rsidRDefault="00000000" w:rsidRPr="00000000" w14:paraId="0000004D">
            <w:pPr>
              <w:rPr/>
            </w:pPr>
            <w:r w:rsidDel="00000000" w:rsidR="00000000" w:rsidRPr="00000000">
              <w:rPr>
                <w:rtl w:val="0"/>
              </w:rPr>
              <w:t xml:space="preserve">Adult innate immunity</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CD4 CreERT2</w:t>
            </w:r>
          </w:p>
        </w:tc>
        <w:tc>
          <w:tcPr/>
          <w:p w:rsidR="00000000" w:rsidDel="00000000" w:rsidP="00000000" w:rsidRDefault="00000000" w:rsidRPr="00000000" w14:paraId="0000004F">
            <w:pPr>
              <w:rPr/>
            </w:pPr>
            <w:r w:rsidDel="00000000" w:rsidR="00000000" w:rsidRPr="00000000">
              <w:rPr>
                <w:rtl w:val="0"/>
              </w:rPr>
              <w:t xml:space="preserve">T cells</w:t>
            </w:r>
          </w:p>
        </w:tc>
        <w:tc>
          <w:tcPr/>
          <w:p w:rsidR="00000000" w:rsidDel="00000000" w:rsidP="00000000" w:rsidRDefault="00000000" w:rsidRPr="00000000" w14:paraId="00000050">
            <w:pPr>
              <w:rPr/>
            </w:pPr>
            <w:r w:rsidDel="00000000" w:rsidR="00000000" w:rsidRPr="00000000">
              <w:rPr>
                <w:rtl w:val="0"/>
              </w:rPr>
              <w:t xml:space="preserve">Adult T cell function</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Villin CreERT2</w:t>
            </w:r>
          </w:p>
        </w:tc>
        <w:tc>
          <w:tcPr/>
          <w:p w:rsidR="00000000" w:rsidDel="00000000" w:rsidP="00000000" w:rsidRDefault="00000000" w:rsidRPr="00000000" w14:paraId="00000052">
            <w:pPr>
              <w:rPr/>
            </w:pPr>
            <w:r w:rsidDel="00000000" w:rsidR="00000000" w:rsidRPr="00000000">
              <w:rPr>
                <w:rtl w:val="0"/>
              </w:rPr>
              <w:t xml:space="preserve">Intestinal epithelium</w:t>
            </w:r>
          </w:p>
        </w:tc>
        <w:tc>
          <w:tcPr/>
          <w:p w:rsidR="00000000" w:rsidDel="00000000" w:rsidP="00000000" w:rsidRDefault="00000000" w:rsidRPr="00000000" w14:paraId="00000053">
            <w:pPr>
              <w:rPr/>
            </w:pPr>
            <w:r w:rsidDel="00000000" w:rsidR="00000000" w:rsidRPr="00000000">
              <w:rPr>
                <w:rtl w:val="0"/>
              </w:rPr>
              <w:t xml:space="preserve">Adult gut function</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K14 CreERT2</w:t>
            </w:r>
          </w:p>
        </w:tc>
        <w:tc>
          <w:tcPr/>
          <w:p w:rsidR="00000000" w:rsidDel="00000000" w:rsidP="00000000" w:rsidRDefault="00000000" w:rsidRPr="00000000" w14:paraId="00000055">
            <w:pPr>
              <w:rPr/>
            </w:pPr>
            <w:r w:rsidDel="00000000" w:rsidR="00000000" w:rsidRPr="00000000">
              <w:rPr>
                <w:rtl w:val="0"/>
              </w:rPr>
              <w:t xml:space="preserve">Keratinocytes</w:t>
            </w:r>
          </w:p>
        </w:tc>
        <w:tc>
          <w:tcPr/>
          <w:p w:rsidR="00000000" w:rsidDel="00000000" w:rsidP="00000000" w:rsidRDefault="00000000" w:rsidRPr="00000000" w14:paraId="00000056">
            <w:pPr>
              <w:rPr/>
            </w:pPr>
            <w:r w:rsidDel="00000000" w:rsidR="00000000" w:rsidRPr="00000000">
              <w:rPr>
                <w:rtl w:val="0"/>
              </w:rPr>
              <w:t xml:space="preserve">Adult skin</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Col1a2 CreERT2</w:t>
            </w:r>
          </w:p>
        </w:tc>
        <w:tc>
          <w:tcPr/>
          <w:p w:rsidR="00000000" w:rsidDel="00000000" w:rsidP="00000000" w:rsidRDefault="00000000" w:rsidRPr="00000000" w14:paraId="00000058">
            <w:pPr>
              <w:rPr/>
            </w:pPr>
            <w:r w:rsidDel="00000000" w:rsidR="00000000" w:rsidRPr="00000000">
              <w:rPr>
                <w:rtl w:val="0"/>
              </w:rPr>
              <w:t xml:space="preserve">Fibroblasts</w:t>
            </w:r>
          </w:p>
        </w:tc>
        <w:tc>
          <w:tcPr/>
          <w:p w:rsidR="00000000" w:rsidDel="00000000" w:rsidP="00000000" w:rsidRDefault="00000000" w:rsidRPr="00000000" w14:paraId="00000059">
            <w:pPr>
              <w:rPr/>
            </w:pPr>
            <w:r w:rsidDel="00000000" w:rsidR="00000000" w:rsidRPr="00000000">
              <w:rPr>
                <w:rtl w:val="0"/>
              </w:rPr>
              <w:t xml:space="preserve">Adult fibroblast function</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Pdx1 CreERT2</w:t>
            </w:r>
          </w:p>
        </w:tc>
        <w:tc>
          <w:tcPr/>
          <w:p w:rsidR="00000000" w:rsidDel="00000000" w:rsidP="00000000" w:rsidRDefault="00000000" w:rsidRPr="00000000" w14:paraId="0000005B">
            <w:pPr>
              <w:rPr/>
            </w:pPr>
            <w:r w:rsidDel="00000000" w:rsidR="00000000" w:rsidRPr="00000000">
              <w:rPr>
                <w:rtl w:val="0"/>
              </w:rPr>
              <w:t xml:space="preserve">Pancreatic lineage</w:t>
            </w:r>
          </w:p>
        </w:tc>
        <w:tc>
          <w:tcPr/>
          <w:p w:rsidR="00000000" w:rsidDel="00000000" w:rsidP="00000000" w:rsidRDefault="00000000" w:rsidRPr="00000000" w14:paraId="0000005C">
            <w:pPr>
              <w:rPr/>
            </w:pPr>
            <w:r w:rsidDel="00000000" w:rsidR="00000000" w:rsidRPr="00000000">
              <w:rPr>
                <w:rtl w:val="0"/>
              </w:rPr>
              <w:t xml:space="preserve">Adult pancreas</w:t>
            </w:r>
          </w:p>
        </w:tc>
      </w:tr>
    </w:tbl>
    <w:p w:rsidR="00000000" w:rsidDel="00000000" w:rsidP="00000000" w:rsidRDefault="00000000" w:rsidRPr="00000000" w14:paraId="0000005D">
      <w:pPr>
        <w:rPr/>
      </w:pPr>
      <w:r w:rsidDel="00000000" w:rsidR="00000000" w:rsidRPr="00000000">
        <w:rPr>
          <w:rtl w:val="0"/>
        </w:rPr>
        <w:t xml:space="preserve">Tissue specific CreERT2 lines enable gene deletion in defined adult cell populations without affecting development of those tissues.</w:t>
      </w:r>
    </w:p>
    <w:p w:rsidR="00000000" w:rsidDel="00000000" w:rsidP="00000000" w:rsidRDefault="00000000" w:rsidRPr="00000000" w14:paraId="0000005E">
      <w:pPr>
        <w:rPr/>
      </w:pPr>
      <w:r w:rsidDel="00000000" w:rsidR="00000000" w:rsidRPr="00000000">
        <w:rPr>
          <w:rtl w:val="0"/>
        </w:rPr>
        <w:t xml:space="preserve">(/tissue-specific-cre-lines)</w:t>
      </w:r>
    </w:p>
    <w:p w:rsidR="00000000" w:rsidDel="00000000" w:rsidP="00000000" w:rsidRDefault="00000000" w:rsidRPr="00000000" w14:paraId="0000005F">
      <w:pPr>
        <w:pStyle w:val="Heading1"/>
        <w:rPr/>
      </w:pPr>
      <w:r w:rsidDel="00000000" w:rsidR="00000000" w:rsidRPr="00000000">
        <w:rPr>
          <w:rtl w:val="0"/>
        </w:rPr>
        <w:t xml:space="preserve">When to Use Inducible Systems</w:t>
      </w:r>
    </w:p>
    <w:p w:rsidR="00000000" w:rsidDel="00000000" w:rsidP="00000000" w:rsidRDefault="00000000" w:rsidRPr="00000000" w14:paraId="00000060">
      <w:pPr>
        <w:pStyle w:val="Heading2"/>
        <w:rPr/>
      </w:pPr>
      <w:r w:rsidDel="00000000" w:rsidR="00000000" w:rsidRPr="00000000">
        <w:rPr>
          <w:rtl w:val="0"/>
        </w:rPr>
        <w:t xml:space="preserve">Bypassing Developmental Lethality</w:t>
      </w:r>
    </w:p>
    <w:p w:rsidR="00000000" w:rsidDel="00000000" w:rsidP="00000000" w:rsidRDefault="00000000" w:rsidRPr="00000000" w14:paraId="00000061">
      <w:pPr>
        <w:rPr/>
      </w:pPr>
      <w:r w:rsidDel="00000000" w:rsidR="00000000" w:rsidRPr="00000000">
        <w:rPr>
          <w:rtl w:val="0"/>
        </w:rPr>
        <w:t xml:space="preserve">Many genes are essential for embryonic development. Conventional knockout is lethal, and even tissue specific conditional knockout may cause developmental defects if deletion occurs during organogenesis. Inducible systems enable gene deletion after development is complete, allowing study of adult gene function.</w:t>
      </w:r>
    </w:p>
    <w:p w:rsidR="00000000" w:rsidDel="00000000" w:rsidP="00000000" w:rsidRDefault="00000000" w:rsidRPr="00000000" w14:paraId="00000062">
      <w:pPr>
        <w:pStyle w:val="Heading2"/>
        <w:rPr/>
      </w:pPr>
      <w:r w:rsidDel="00000000" w:rsidR="00000000" w:rsidRPr="00000000">
        <w:rPr>
          <w:rtl w:val="0"/>
        </w:rPr>
        <w:t xml:space="preserve">Distinguishing Developmental from Adult Roles</w:t>
      </w:r>
    </w:p>
    <w:p w:rsidR="00000000" w:rsidDel="00000000" w:rsidP="00000000" w:rsidRDefault="00000000" w:rsidRPr="00000000" w14:paraId="00000063">
      <w:pPr>
        <w:rPr/>
      </w:pPr>
      <w:r w:rsidDel="00000000" w:rsidR="00000000" w:rsidRPr="00000000">
        <w:rPr>
          <w:rtl w:val="0"/>
        </w:rPr>
        <w:t xml:space="preserve">Genes may have distinct functions during development versus adulthood. Constitutive deletion conflates these roles. Inducible deletion in adults reveals the gene's ongoing function independent of its developmental requirements.</w:t>
      </w:r>
    </w:p>
    <w:p w:rsidR="00000000" w:rsidDel="00000000" w:rsidP="00000000" w:rsidRDefault="00000000" w:rsidRPr="00000000" w14:paraId="00000064">
      <w:pPr>
        <w:rPr/>
      </w:pPr>
      <w:r w:rsidDel="00000000" w:rsidR="00000000" w:rsidRPr="00000000">
        <w:rPr>
          <w:b w:val="1"/>
          <w:bCs w:val="1"/>
          <w:rtl w:val="0"/>
        </w:rPr>
        <w:t xml:space="preserve">Example:</w:t>
      </w:r>
      <w:r w:rsidDel="00000000" w:rsidR="00000000" w:rsidRPr="00000000">
        <w:rPr>
          <w:rtl w:val="0"/>
        </w:rPr>
        <w:t xml:space="preserve"> A gene required for neuronal migration during development may also regulate synaptic plasticity in adults. Inducible knockout allows study of the adult synaptic function without the confounding effects of abnormal neuronal positioning.</w:t>
      </w:r>
    </w:p>
    <w:p w:rsidR="00000000" w:rsidDel="00000000" w:rsidP="00000000" w:rsidRDefault="00000000" w:rsidRPr="00000000" w14:paraId="00000065">
      <w:pPr>
        <w:pStyle w:val="Heading2"/>
        <w:rPr/>
      </w:pPr>
      <w:r w:rsidDel="00000000" w:rsidR="00000000" w:rsidRPr="00000000">
        <w:rPr>
          <w:rtl w:val="0"/>
        </w:rPr>
        <w:t xml:space="preserve">Modeling Drug Target Inhibition</w:t>
      </w:r>
    </w:p>
    <w:p w:rsidR="00000000" w:rsidDel="00000000" w:rsidP="00000000" w:rsidRDefault="00000000" w:rsidRPr="00000000" w14:paraId="00000066">
      <w:pPr>
        <w:rPr/>
      </w:pPr>
      <w:r w:rsidDel="00000000" w:rsidR="00000000" w:rsidRPr="00000000">
        <w:rPr>
          <w:rtl w:val="0"/>
        </w:rPr>
        <w:t xml:space="preserve">Inducible knockout most closely models therapeutic target inhibition: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Patient has normal target function before treatment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Drug administration causes acute target inhibition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 knockout mirrors this: normal function until tamoxifen triggers deletion</w:t>
      </w:r>
    </w:p>
    <w:p w:rsidR="00000000" w:rsidDel="00000000" w:rsidP="00000000" w:rsidRDefault="00000000" w:rsidRPr="00000000" w14:paraId="0000006A">
      <w:pPr>
        <w:rPr/>
      </w:pPr>
      <w:r w:rsidDel="00000000" w:rsidR="00000000" w:rsidRPr="00000000">
        <w:rPr>
          <w:rtl w:val="0"/>
        </w:rPr>
        <w:t xml:space="preserve">This makes inducible systems valuable for drug target validation, predicting consequences of pharmacological inhibition rather than lifelong gene absence.</w:t>
      </w:r>
    </w:p>
    <w:p w:rsidR="00000000" w:rsidDel="00000000" w:rsidP="00000000" w:rsidRDefault="00000000" w:rsidRPr="00000000" w14:paraId="0000006B">
      <w:pPr>
        <w:pStyle w:val="Heading2"/>
        <w:rPr/>
      </w:pPr>
      <w:r w:rsidDel="00000000" w:rsidR="00000000" w:rsidRPr="00000000">
        <w:rPr>
          <w:rtl w:val="0"/>
        </w:rPr>
        <w:t xml:space="preserve">Studying Acute vs Chronic Phenotypes</w:t>
      </w:r>
    </w:p>
    <w:p w:rsidR="00000000" w:rsidDel="00000000" w:rsidP="00000000" w:rsidRDefault="00000000" w:rsidRPr="00000000" w14:paraId="0000006C">
      <w:pPr>
        <w:rPr/>
      </w:pPr>
      <w:r w:rsidDel="00000000" w:rsidR="00000000" w:rsidRPr="00000000">
        <w:rPr>
          <w:rtl w:val="0"/>
        </w:rPr>
        <w:t xml:space="preserve">Constitutive knockouts represent chronic, lifelong gene loss. Inducible knockouts enable study of acute effects immediately following gene deletion, as well as progression of phenotypes over time. This temporal resolution is valuable for understanding disease mechanisms and therapeutic windows.</w:t>
      </w:r>
    </w:p>
    <w:p w:rsidR="00000000" w:rsidDel="00000000" w:rsidP="00000000" w:rsidRDefault="00000000" w:rsidRPr="00000000" w14:paraId="0000006D">
      <w:pPr>
        <w:pStyle w:val="Heading2"/>
        <w:rPr/>
      </w:pPr>
      <w:r w:rsidDel="00000000" w:rsidR="00000000" w:rsidRPr="00000000">
        <w:rPr>
          <w:rtl w:val="0"/>
        </w:rPr>
        <w:t xml:space="preserve">Avoiding Developmental Compensation</w:t>
      </w:r>
    </w:p>
    <w:p w:rsidR="00000000" w:rsidDel="00000000" w:rsidP="00000000" w:rsidRDefault="00000000" w:rsidRPr="00000000" w14:paraId="0000006E">
      <w:pPr>
        <w:rPr/>
      </w:pPr>
      <w:r w:rsidDel="00000000" w:rsidR="00000000" w:rsidRPr="00000000">
        <w:rPr>
          <w:rtl w:val="0"/>
        </w:rPr>
        <w:t xml:space="preserve">When genes are deleted early in development, compensatory mechanisms may mask the full phenotype. Related genes may upregulate, alternative pathways may activate. Deleting genes in adults, after these developmental adaptations have occurred, can reveal stronger or different phenotypes.</w:t>
      </w:r>
    </w:p>
    <w:p w:rsidR="00000000" w:rsidDel="00000000" w:rsidP="00000000" w:rsidRDefault="00000000" w:rsidRPr="00000000" w14:paraId="0000006F">
      <w:pPr>
        <w:pStyle w:val="Heading1"/>
        <w:rPr/>
      </w:pPr>
      <w:r w:rsidDel="00000000" w:rsidR="00000000" w:rsidRPr="00000000">
        <w:rPr>
          <w:rtl w:val="0"/>
        </w:rPr>
        <w:t xml:space="preserve">Technical Considerations</w:t>
      </w:r>
    </w:p>
    <w:p w:rsidR="00000000" w:rsidDel="00000000" w:rsidP="00000000" w:rsidRDefault="00000000" w:rsidRPr="00000000" w14:paraId="00000070">
      <w:pPr>
        <w:pStyle w:val="Heading2"/>
        <w:rPr/>
      </w:pPr>
      <w:r w:rsidDel="00000000" w:rsidR="00000000" w:rsidRPr="00000000">
        <w:rPr>
          <w:rtl w:val="0"/>
        </w:rPr>
        <w:t xml:space="preserve">Tamoxifen Administration</w:t>
      </w:r>
    </w:p>
    <w:p w:rsidR="00000000" w:rsidDel="00000000" w:rsidP="00000000" w:rsidRDefault="00000000" w:rsidRPr="00000000" w14:paraId="00000071">
      <w:pPr>
        <w:rPr/>
      </w:pPr>
      <w:r w:rsidDel="00000000" w:rsidR="00000000" w:rsidRPr="00000000">
        <w:rPr>
          <w:rtl w:val="0"/>
        </w:rPr>
        <w:t xml:space="preserve">Tamoxifen dosing affects recombination efficiency:</w:t>
      </w:r>
    </w:p>
    <w:tbl>
      <w:tblPr>
        <w:tblStyle w:val="Table4"/>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72">
            <w:pPr>
              <w:rPr/>
            </w:pPr>
            <w:r w:rsidDel="00000000" w:rsidR="00000000" w:rsidRPr="00000000">
              <w:rPr>
                <w:rtl w:val="0"/>
              </w:rPr>
              <w:t xml:space="preserve">Route</w:t>
            </w:r>
          </w:p>
        </w:tc>
        <w:tc>
          <w:tcPr/>
          <w:p w:rsidR="00000000" w:rsidDel="00000000" w:rsidP="00000000" w:rsidRDefault="00000000" w:rsidRPr="00000000" w14:paraId="00000073">
            <w:pPr>
              <w:rPr/>
            </w:pPr>
            <w:r w:rsidDel="00000000" w:rsidR="00000000" w:rsidRPr="00000000">
              <w:rPr>
                <w:rtl w:val="0"/>
              </w:rPr>
              <w:t xml:space="preserve">Typical Dose</w:t>
            </w:r>
          </w:p>
        </w:tc>
        <w:tc>
          <w:tcPr/>
          <w:p w:rsidR="00000000" w:rsidDel="00000000" w:rsidP="00000000" w:rsidRDefault="00000000" w:rsidRPr="00000000" w14:paraId="00000074">
            <w:pPr>
              <w:rPr/>
            </w:pPr>
            <w:r w:rsidDel="00000000" w:rsidR="00000000" w:rsidRPr="00000000">
              <w:rPr>
                <w:rtl w:val="0"/>
              </w:rPr>
              <w:t xml:space="preserve">Duration</w:t>
            </w:r>
          </w:p>
        </w:tc>
        <w:tc>
          <w:tcPr/>
          <w:p w:rsidR="00000000" w:rsidDel="00000000" w:rsidP="00000000" w:rsidRDefault="00000000" w:rsidRPr="00000000" w14:paraId="00000075">
            <w:pPr>
              <w:rPr/>
            </w:pPr>
            <w:r w:rsidDel="00000000" w:rsidR="00000000" w:rsidRPr="00000000">
              <w:rPr>
                <w:rtl w:val="0"/>
              </w:rPr>
              <w:t xml:space="preserve">Efficiency</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IP injection</w:t>
            </w:r>
          </w:p>
        </w:tc>
        <w:tc>
          <w:tcPr/>
          <w:p w:rsidR="00000000" w:rsidDel="00000000" w:rsidP="00000000" w:rsidRDefault="00000000" w:rsidRPr="00000000" w14:paraId="00000077">
            <w:pPr>
              <w:rPr/>
            </w:pPr>
            <w:r w:rsidDel="00000000" w:rsidR="00000000" w:rsidRPr="00000000">
              <w:rPr>
                <w:rtl w:val="0"/>
              </w:rPr>
              <w:t xml:space="preserve">75 to 100 mg/kg</w:t>
            </w:r>
          </w:p>
        </w:tc>
        <w:tc>
          <w:tcPr/>
          <w:p w:rsidR="00000000" w:rsidDel="00000000" w:rsidP="00000000" w:rsidRDefault="00000000" w:rsidRPr="00000000" w14:paraId="00000078">
            <w:pPr>
              <w:rPr/>
            </w:pPr>
            <w:r w:rsidDel="00000000" w:rsidR="00000000" w:rsidRPr="00000000">
              <w:rPr>
                <w:rtl w:val="0"/>
              </w:rPr>
              <w:t xml:space="preserve">3 to 5 days</w:t>
            </w:r>
          </w:p>
        </w:tc>
        <w:tc>
          <w:tcPr/>
          <w:p w:rsidR="00000000" w:rsidDel="00000000" w:rsidP="00000000" w:rsidRDefault="00000000" w:rsidRPr="00000000" w14:paraId="00000079">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Oral gavage</w:t>
            </w:r>
          </w:p>
        </w:tc>
        <w:tc>
          <w:tcPr/>
          <w:p w:rsidR="00000000" w:rsidDel="00000000" w:rsidP="00000000" w:rsidRDefault="00000000" w:rsidRPr="00000000" w14:paraId="0000007B">
            <w:pPr>
              <w:rPr/>
            </w:pPr>
            <w:r w:rsidDel="00000000" w:rsidR="00000000" w:rsidRPr="00000000">
              <w:rPr>
                <w:rtl w:val="0"/>
              </w:rPr>
              <w:t xml:space="preserve">100 to 200 mg/kg</w:t>
            </w:r>
          </w:p>
        </w:tc>
        <w:tc>
          <w:tcPr/>
          <w:p w:rsidR="00000000" w:rsidDel="00000000" w:rsidP="00000000" w:rsidRDefault="00000000" w:rsidRPr="00000000" w14:paraId="0000007C">
            <w:pPr>
              <w:rPr/>
            </w:pPr>
            <w:r w:rsidDel="00000000" w:rsidR="00000000" w:rsidRPr="00000000">
              <w:rPr>
                <w:rtl w:val="0"/>
              </w:rPr>
              <w:t xml:space="preserve">3 to 5 days</w:t>
            </w:r>
          </w:p>
        </w:tc>
        <w:tc>
          <w:tcPr/>
          <w:p w:rsidR="00000000" w:rsidDel="00000000" w:rsidP="00000000" w:rsidRDefault="00000000" w:rsidRPr="00000000" w14:paraId="0000007D">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Tamoxifen diet</w:t>
            </w:r>
          </w:p>
        </w:tc>
        <w:tc>
          <w:tcPr/>
          <w:p w:rsidR="00000000" w:rsidDel="00000000" w:rsidP="00000000" w:rsidRDefault="00000000" w:rsidRPr="00000000" w14:paraId="0000007F">
            <w:pPr>
              <w:rPr/>
            </w:pPr>
            <w:r w:rsidDel="00000000" w:rsidR="00000000" w:rsidRPr="00000000">
              <w:rPr>
                <w:rtl w:val="0"/>
              </w:rPr>
              <w:t xml:space="preserve">400 mg/kg chow</w:t>
            </w:r>
          </w:p>
        </w:tc>
        <w:tc>
          <w:tcPr/>
          <w:p w:rsidR="00000000" w:rsidDel="00000000" w:rsidP="00000000" w:rsidRDefault="00000000" w:rsidRPr="00000000" w14:paraId="00000080">
            <w:pPr>
              <w:rPr/>
            </w:pPr>
            <w:r w:rsidDel="00000000" w:rsidR="00000000" w:rsidRPr="00000000">
              <w:rPr>
                <w:rtl w:val="0"/>
              </w:rPr>
              <w:t xml:space="preserve">1 to 4 weeks</w:t>
            </w:r>
          </w:p>
        </w:tc>
        <w:tc>
          <w:tcPr/>
          <w:p w:rsidR="00000000" w:rsidDel="00000000" w:rsidP="00000000" w:rsidRDefault="00000000" w:rsidRPr="00000000" w14:paraId="00000081">
            <w:pPr>
              <w:rPr/>
            </w:pPr>
            <w:r w:rsidDel="00000000" w:rsidR="00000000" w:rsidRPr="00000000">
              <w:rPr>
                <w:rtl w:val="0"/>
              </w:rPr>
              <w:t xml:space="preserve">Moderate</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Topical (skin)</w:t>
            </w:r>
          </w:p>
        </w:tc>
        <w:tc>
          <w:tcPr/>
          <w:p w:rsidR="00000000" w:rsidDel="00000000" w:rsidP="00000000" w:rsidRDefault="00000000" w:rsidRPr="00000000" w14:paraId="00000083">
            <w:pPr>
              <w:rPr/>
            </w:pPr>
            <w:r w:rsidDel="00000000" w:rsidR="00000000" w:rsidRPr="00000000">
              <w:rPr>
                <w:rtl w:val="0"/>
              </w:rPr>
              <w:t xml:space="preserve">Variable</w:t>
            </w:r>
          </w:p>
        </w:tc>
        <w:tc>
          <w:tcPr/>
          <w:p w:rsidR="00000000" w:rsidDel="00000000" w:rsidP="00000000" w:rsidRDefault="00000000" w:rsidRPr="00000000" w14:paraId="00000084">
            <w:pPr>
              <w:rPr/>
            </w:pPr>
            <w:r w:rsidDel="00000000" w:rsidR="00000000" w:rsidRPr="00000000">
              <w:rPr>
                <w:rtl w:val="0"/>
              </w:rPr>
              <w:t xml:space="preserve">Variable</w:t>
            </w:r>
          </w:p>
        </w:tc>
        <w:tc>
          <w:tcPr/>
          <w:p w:rsidR="00000000" w:rsidDel="00000000" w:rsidP="00000000" w:rsidRDefault="00000000" w:rsidRPr="00000000" w14:paraId="00000085">
            <w:pPr>
              <w:rPr/>
            </w:pPr>
            <w:r w:rsidDel="00000000" w:rsidR="00000000" w:rsidRPr="00000000">
              <w:rPr>
                <w:rtl w:val="0"/>
              </w:rPr>
              <w:t xml:space="preserve">Localized</w:t>
            </w:r>
          </w:p>
        </w:tc>
      </w:tr>
    </w:tbl>
    <w:p w:rsidR="00000000" w:rsidDel="00000000" w:rsidP="00000000" w:rsidRDefault="00000000" w:rsidRPr="00000000" w14:paraId="00000086">
      <w:pPr>
        <w:rPr/>
      </w:pPr>
      <w:r w:rsidDel="00000000" w:rsidR="00000000" w:rsidRPr="00000000">
        <w:rPr>
          <w:rtl w:val="0"/>
        </w:rPr>
        <w:t xml:space="preserve">Higher doses and longer treatment increase recombination efficiency but may cause tamoxifen related effects. Optimize dosing for your specific CreERT2 line and target tissue.</w:t>
      </w:r>
    </w:p>
    <w:p w:rsidR="00000000" w:rsidDel="00000000" w:rsidP="00000000" w:rsidRDefault="00000000" w:rsidRPr="00000000" w14:paraId="00000087">
      <w:pPr>
        <w:pStyle w:val="Heading2"/>
        <w:rPr/>
      </w:pPr>
      <w:r w:rsidDel="00000000" w:rsidR="00000000" w:rsidRPr="00000000">
        <w:rPr>
          <w:rtl w:val="0"/>
        </w:rPr>
        <w:t xml:space="preserve">Recombination Efficiency</w:t>
      </w:r>
    </w:p>
    <w:p w:rsidR="00000000" w:rsidDel="00000000" w:rsidP="00000000" w:rsidRDefault="00000000" w:rsidRPr="00000000" w14:paraId="00000088">
      <w:pPr>
        <w:rPr/>
      </w:pPr>
      <w:r w:rsidDel="00000000" w:rsidR="00000000" w:rsidRPr="00000000">
        <w:rPr>
          <w:rtl w:val="0"/>
        </w:rPr>
        <w:t xml:space="preserve">Not all cells in a target population may undergo recombination: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Efficiency varies by CreERT2 driver and target tissue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Some cells may escape recombination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Mosaic deletion may occur within tissues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 recombination efficiency with reporter crosses</w:t>
      </w:r>
    </w:p>
    <w:p w:rsidR="00000000" w:rsidDel="00000000" w:rsidP="00000000" w:rsidRDefault="00000000" w:rsidRPr="00000000" w14:paraId="0000008D">
      <w:pPr>
        <w:rPr/>
      </w:pPr>
      <w:r w:rsidDel="00000000" w:rsidR="00000000" w:rsidRPr="00000000">
        <w:rPr>
          <w:rtl w:val="0"/>
        </w:rPr>
        <w:t xml:space="preserve">Cross inducible Cre to a reporter line (Rosa26 tdTomato) and assess reporter expression after tamoxifen to validate your specific experimental system.</w:t>
      </w:r>
    </w:p>
    <w:p w:rsidR="00000000" w:rsidDel="00000000" w:rsidP="00000000" w:rsidRDefault="00000000" w:rsidRPr="00000000" w14:paraId="0000008E">
      <w:pPr>
        <w:pStyle w:val="Heading2"/>
        <w:rPr/>
      </w:pPr>
      <w:r w:rsidDel="00000000" w:rsidR="00000000" w:rsidRPr="00000000">
        <w:rPr>
          <w:rtl w:val="0"/>
        </w:rPr>
        <w:t xml:space="preserve">Controls for Inducible Experiments</w:t>
      </w:r>
    </w:p>
    <w:p w:rsidR="00000000" w:rsidDel="00000000" w:rsidP="00000000" w:rsidRDefault="00000000" w:rsidRPr="00000000" w14:paraId="0000008F">
      <w:pPr>
        <w:rPr/>
      </w:pPr>
      <w:r w:rsidDel="00000000" w:rsidR="00000000" w:rsidRPr="00000000">
        <w:rPr>
          <w:rtl w:val="0"/>
        </w:rPr>
        <w:t xml:space="preserve">Proper controls account for tamoxifen effects and Cre expression: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Floxed only + tamoxifen:** Controls for tamoxifen effects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CreERT2 only + tamoxifen:** Controls for Cre expression and tamoxifen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Floxed + CreERT2 without tamoxifen:** Controls for leaky Cre activity</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Floxed + CreERT2 + tamoxifen:** Experimental group</w:t>
      </w:r>
    </w:p>
    <w:p w:rsidR="00000000" w:rsidDel="00000000" w:rsidP="00000000" w:rsidRDefault="00000000" w:rsidRPr="00000000" w14:paraId="00000094">
      <w:pPr>
        <w:pStyle w:val="Heading2"/>
        <w:rPr/>
      </w:pPr>
      <w:r w:rsidDel="00000000" w:rsidR="00000000" w:rsidRPr="00000000">
        <w:rPr>
          <w:rtl w:val="0"/>
        </w:rPr>
        <w:t xml:space="preserve">Leaky Cre Activity</w:t>
      </w:r>
    </w:p>
    <w:p w:rsidR="00000000" w:rsidDel="00000000" w:rsidP="00000000" w:rsidRDefault="00000000" w:rsidRPr="00000000" w14:paraId="00000095">
      <w:pPr>
        <w:rPr/>
      </w:pPr>
      <w:r w:rsidDel="00000000" w:rsidR="00000000" w:rsidRPr="00000000">
        <w:rPr>
          <w:rtl w:val="0"/>
        </w:rPr>
        <w:t xml:space="preserve">Some CreERT2 lines show low level activity without tamoxifen (leaky expression). This can cause background recombination that accumulates over time. Evaluate potential leaky activity by assessing recombination in uninduced animals, particularly for long term studies.</w:t>
      </w:r>
    </w:p>
    <w:p w:rsidR="00000000" w:rsidDel="00000000" w:rsidP="00000000" w:rsidRDefault="00000000" w:rsidRPr="00000000" w14:paraId="00000096">
      <w:pPr>
        <w:pStyle w:val="Heading1"/>
        <w:rPr/>
      </w:pPr>
      <w:r w:rsidDel="00000000" w:rsidR="00000000" w:rsidRPr="00000000">
        <w:rPr>
          <w:rtl w:val="0"/>
        </w:rPr>
        <w:t xml:space="preserve">Selected Publications</w:t>
      </w:r>
    </w:p>
    <w:p w:rsidR="00000000" w:rsidDel="00000000" w:rsidP="00000000" w:rsidRDefault="00000000" w:rsidRPr="00000000" w14:paraId="00000097">
      <w:pPr>
        <w:rPr/>
      </w:pPr>
      <w:r w:rsidDel="00000000" w:rsidR="00000000" w:rsidRPr="00000000">
        <w:rPr>
          <w:rtl w:val="0"/>
        </w:rPr>
        <w:t xml:space="preserve">Cre models generated by Ingenious Targeting Laboratory:</w:t>
      </w:r>
    </w:p>
    <w:p w:rsidR="00000000" w:rsidDel="00000000" w:rsidP="00000000" w:rsidRDefault="00000000" w:rsidRPr="00000000" w14:paraId="00000098">
      <w:pPr>
        <w:spacing w:after="0" w:line="276" w:lineRule="auto"/>
        <w:rPr>
          <w:rFonts w:ascii="Arial" w:cs="Arial" w:eastAsia="Arial" w:hAnsi="Arial"/>
          <w:color w:val="212121"/>
          <w:sz w:val="20"/>
          <w:szCs w:val="20"/>
          <w:highlight w:val="white"/>
        </w:rPr>
      </w:pPr>
      <w:r w:rsidDel="00000000" w:rsidR="00000000" w:rsidRPr="00000000">
        <w:rPr>
          <w:rFonts w:ascii="Arial" w:cs="Arial" w:eastAsia="Arial" w:hAnsi="Arial"/>
          <w:color w:val="212121"/>
          <w:sz w:val="20"/>
          <w:szCs w:val="20"/>
          <w:highlight w:val="white"/>
          <w:rtl w:val="0"/>
        </w:rPr>
        <w:t xml:space="preserve">Lee B, Kwon JT, Jeong Y, Caris H, Oh D, Feng M, Davila Mejia I, Zhang X, Ishikawa T, Watson BR, Moffitt JR, Chung K, Huh JR, Choi GB. 2025. </w:t>
      </w:r>
      <w:hyperlink r:id="rId7">
        <w:r w:rsidDel="00000000" w:rsidR="00000000" w:rsidRPr="00000000">
          <w:rPr>
            <w:rFonts w:ascii="Arial" w:cs="Arial" w:eastAsia="Arial" w:hAnsi="Arial"/>
            <w:color w:val="1155cc"/>
            <w:sz w:val="20"/>
            <w:szCs w:val="20"/>
            <w:highlight w:val="white"/>
            <w:u w:val="single"/>
            <w:rtl w:val="0"/>
          </w:rPr>
          <w:t xml:space="preserve">Inflammatory and anti-inflammatory cytokines bidirectionally modulate amygdala circuits regulating anxiety</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Cell</w:t>
      </w:r>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b w:val="1"/>
          <w:bCs w:val="1"/>
          <w:color w:val="212121"/>
          <w:sz w:val="20"/>
          <w:szCs w:val="20"/>
          <w:highlight w:val="white"/>
          <w:rtl w:val="0"/>
        </w:rPr>
        <w:t xml:space="preserve">8</w:t>
      </w:r>
      <w:r w:rsidDel="00000000" w:rsidR="00000000" w:rsidRPr="00000000">
        <w:rPr>
          <w:rFonts w:ascii="Arial" w:cs="Arial" w:eastAsia="Arial" w:hAnsi="Arial"/>
          <w:color w:val="212121"/>
          <w:sz w:val="20"/>
          <w:szCs w:val="20"/>
          <w:highlight w:val="white"/>
          <w:rtl w:val="0"/>
        </w:rPr>
        <w:t xml:space="preserve">(188): 2190-2202.e15.</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rFonts w:ascii="Arial" w:cs="Arial" w:eastAsia="Arial" w:hAnsi="Arial"/>
          <w:color w:val="475467"/>
          <w:sz w:val="20"/>
          <w:szCs w:val="20"/>
        </w:rPr>
      </w:pPr>
      <w:r w:rsidDel="00000000" w:rsidR="00000000" w:rsidRPr="00000000">
        <w:rPr>
          <w:rFonts w:ascii="Arial" w:cs="Arial" w:eastAsia="Arial" w:hAnsi="Arial"/>
          <w:color w:val="475467"/>
          <w:sz w:val="20"/>
          <w:szCs w:val="20"/>
          <w:rtl w:val="0"/>
        </w:rPr>
        <w:t xml:space="preserve">Tsvilovskyy V, Ottenheijm R, Kriebs U, Schütz A, Diakopoulos KN, Jha A, Bildl W, Wirth A, Böck J, Jaślan D, Ferro I, Taberner FJ, Kalinina O, Hildebrand S, Wissenbach U, Weissgerber P, Vogt D, Eberhagen C, Mannebach S, Berlin M, Kuryshev V, Schumacher D, Philippaert K, Camacho-Londoño JE, Mathar I, Dieterich C, Klugbauer N, Biel M, Wahl-Schott C, Lipp P, Flockerzi V, Zischka H, Algül H, Lechner SG, Lesina M, Grimm C, Fakler B, Schulte U, Muallem S, Freichel M. 2024. </w:t>
      </w:r>
      <w:hyperlink r:id="rId8">
        <w:r w:rsidDel="00000000" w:rsidR="00000000" w:rsidRPr="00000000">
          <w:rPr>
            <w:rFonts w:ascii="Arial" w:cs="Arial" w:eastAsia="Arial" w:hAnsi="Arial"/>
            <w:color w:val="008080"/>
            <w:sz w:val="20"/>
            <w:szCs w:val="20"/>
            <w:rtl w:val="0"/>
          </w:rPr>
          <w:t xml:space="preserve">OCaR1 endows exocytic vesicles with autoregulatory competence by preventing uncontrolled Ca2+ release, exocytosis, and pancreatic tissue damage</w:t>
        </w:r>
      </w:hyperlink>
      <w:r w:rsidDel="00000000" w:rsidR="00000000" w:rsidRPr="00000000">
        <w:rPr>
          <w:rFonts w:ascii="Arial" w:cs="Arial" w:eastAsia="Arial" w:hAnsi="Arial"/>
          <w:color w:val="475467"/>
          <w:sz w:val="20"/>
          <w:szCs w:val="20"/>
          <w:rtl w:val="0"/>
        </w:rPr>
        <w:t xml:space="preserve"> . </w:t>
      </w:r>
      <w:r w:rsidDel="00000000" w:rsidR="00000000" w:rsidRPr="00000000">
        <w:rPr>
          <w:rFonts w:ascii="Arial" w:cs="Arial" w:eastAsia="Arial" w:hAnsi="Arial"/>
          <w:i w:val="1"/>
          <w:iCs w:val="1"/>
          <w:color w:val="475467"/>
          <w:sz w:val="20"/>
          <w:szCs w:val="20"/>
          <w:rtl w:val="0"/>
        </w:rPr>
        <w:t xml:space="preserve">J Clin Invest </w:t>
      </w:r>
      <w:r w:rsidDel="00000000" w:rsidR="00000000" w:rsidRPr="00000000">
        <w:rPr>
          <w:rFonts w:ascii="Arial" w:cs="Arial" w:eastAsia="Arial" w:hAnsi="Arial"/>
          <w:b w:val="1"/>
          <w:bCs w:val="1"/>
          <w:color w:val="475467"/>
          <w:sz w:val="20"/>
          <w:szCs w:val="20"/>
          <w:rtl w:val="0"/>
        </w:rPr>
        <w:t xml:space="preserve">134</w:t>
      </w:r>
      <w:r w:rsidDel="00000000" w:rsidR="00000000" w:rsidRPr="00000000">
        <w:rPr>
          <w:rFonts w:ascii="Arial" w:cs="Arial" w:eastAsia="Arial" w:hAnsi="Arial"/>
          <w:color w:val="475467"/>
          <w:sz w:val="20"/>
          <w:szCs w:val="20"/>
          <w:rtl w:val="0"/>
        </w:rPr>
        <w:t xml:space="preserve">(7): e169428.</w:t>
      </w:r>
    </w:p>
    <w:p w:rsidR="00000000" w:rsidDel="00000000" w:rsidP="00000000" w:rsidRDefault="00000000" w:rsidRPr="00000000" w14:paraId="0000009B">
      <w:pPr>
        <w:rPr>
          <w:rFonts w:ascii="Arial" w:cs="Arial" w:eastAsia="Arial" w:hAnsi="Arial"/>
          <w:color w:val="475467"/>
          <w:sz w:val="20"/>
          <w:szCs w:val="20"/>
        </w:rPr>
      </w:pPr>
      <w:r w:rsidDel="00000000" w:rsidR="00000000" w:rsidRPr="00000000">
        <w:rPr>
          <w:rFonts w:ascii="Arial" w:cs="Arial" w:eastAsia="Arial" w:hAnsi="Arial"/>
          <w:color w:val="475467"/>
          <w:sz w:val="20"/>
          <w:szCs w:val="20"/>
          <w:rtl w:val="0"/>
        </w:rPr>
        <w:t xml:space="preserve">Souza G, Stornetta DS, Shi Y, Lim E, Berry FE, Bayliss DA, Abbott SBG. 2023. </w:t>
      </w:r>
      <w:hyperlink r:id="rId9">
        <w:r w:rsidDel="00000000" w:rsidR="00000000" w:rsidRPr="00000000">
          <w:rPr>
            <w:rFonts w:ascii="Arial" w:cs="Arial" w:eastAsia="Arial" w:hAnsi="Arial"/>
            <w:color w:val="008080"/>
            <w:sz w:val="20"/>
            <w:szCs w:val="20"/>
            <w:rtl w:val="0"/>
          </w:rPr>
          <w:t xml:space="preserve">Neuromedin B-expressing neurons in the retrotrapezoid nucleus regulate respiratory homeostasis and promote stable breathing in adult mice.</w:t>
        </w:r>
      </w:hyperlink>
      <w:r w:rsidDel="00000000" w:rsidR="00000000" w:rsidRPr="00000000">
        <w:rPr>
          <w:rFonts w:ascii="Arial" w:cs="Arial" w:eastAsia="Arial" w:hAnsi="Arial"/>
          <w:i w:val="1"/>
          <w:iCs w:val="1"/>
          <w:color w:val="475467"/>
          <w:sz w:val="20"/>
          <w:szCs w:val="20"/>
          <w:rtl w:val="0"/>
        </w:rPr>
        <w:t xml:space="preserve">J Neurosci</w:t>
      </w:r>
      <w:r w:rsidDel="00000000" w:rsidR="00000000" w:rsidRPr="00000000">
        <w:rPr>
          <w:rFonts w:ascii="Arial" w:cs="Arial" w:eastAsia="Arial" w:hAnsi="Arial"/>
          <w:b w:val="1"/>
          <w:bCs w:val="1"/>
          <w:color w:val="475467"/>
          <w:sz w:val="20"/>
          <w:szCs w:val="20"/>
          <w:rtl w:val="0"/>
        </w:rPr>
        <w:t xml:space="preserve">43</w:t>
      </w:r>
      <w:r w:rsidDel="00000000" w:rsidR="00000000" w:rsidRPr="00000000">
        <w:rPr>
          <w:rFonts w:ascii="Arial" w:cs="Arial" w:eastAsia="Arial" w:hAnsi="Arial"/>
          <w:color w:val="475467"/>
          <w:sz w:val="20"/>
          <w:szCs w:val="20"/>
          <w:rtl w:val="0"/>
        </w:rPr>
        <w:t xml:space="preserve">(30): 5501-5520.</w:t>
      </w:r>
    </w:p>
    <w:p w:rsidR="00000000" w:rsidDel="00000000" w:rsidP="00000000" w:rsidRDefault="00000000" w:rsidRPr="00000000" w14:paraId="0000009C">
      <w:pPr>
        <w:rPr/>
      </w:pPr>
      <w:r w:rsidDel="00000000" w:rsidR="00000000" w:rsidRPr="00000000">
        <w:rPr>
          <w:rtl w:val="0"/>
        </w:rPr>
        <w:t xml:space="preserve">(/publications)</w:t>
      </w:r>
    </w:p>
    <w:p w:rsidR="00000000" w:rsidDel="00000000" w:rsidP="00000000" w:rsidRDefault="00000000" w:rsidRPr="00000000" w14:paraId="0000009D">
      <w:pPr>
        <w:pStyle w:val="Heading1"/>
        <w:rPr/>
      </w:pPr>
      <w:r w:rsidDel="00000000" w:rsidR="00000000" w:rsidRPr="00000000">
        <w:rPr>
          <w:rtl w:val="0"/>
        </w:rPr>
        <w:t xml:space="preserve">What Researchers Say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people at InGenious are friendly, professional, and extremely good at what they do. I have made 5 Knockin mice with them and everything has gone like clockwork.”</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David B. Roth</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MD, PhD**, </w:t>
      </w:r>
      <w:r w:rsidDel="00000000" w:rsidR="00000000" w:rsidRPr="00000000">
        <w:rPr>
          <w:i w:val="1"/>
          <w:iCs w:val="1"/>
          <w:rtl w:val="0"/>
        </w:rPr>
        <w:t xml:space="preserve">Perelman School of Medicine, University of Pennsylvania</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(/testimonials)</w:t>
      </w:r>
    </w:p>
    <w:p w:rsidR="00000000" w:rsidDel="00000000" w:rsidP="00000000" w:rsidRDefault="00000000" w:rsidRPr="00000000" w14:paraId="000000A2">
      <w:pPr>
        <w:pStyle w:val="Heading1"/>
        <w:rPr/>
      </w:pPr>
      <w:r w:rsidDel="00000000" w:rsidR="00000000" w:rsidRPr="00000000">
        <w:rPr>
          <w:rtl w:val="0"/>
        </w:rPr>
        <w:t xml:space="preserve">Related Model Types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(/tissue-specific-knockout)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A6">
      <w:pPr>
        <w:pStyle w:val="Heading1"/>
        <w:rPr/>
      </w:pPr>
      <w:r w:rsidDel="00000000" w:rsidR="00000000" w:rsidRPr="00000000">
        <w:rPr>
          <w:rtl w:val="0"/>
        </w:rPr>
        <w:t xml:space="preserve">Related Technologies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(/tamoxifen-inducible-cre)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(/tet-on-tet-off-systems)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(/derivative-alleles)</w:t>
      </w:r>
    </w:p>
    <w:p w:rsidR="00000000" w:rsidDel="00000000" w:rsidP="00000000" w:rsidRDefault="00000000" w:rsidRPr="00000000" w14:paraId="000000AC">
      <w:pPr>
        <w:pStyle w:val="Heading1"/>
        <w:rPr/>
      </w:pPr>
      <w:r w:rsidDel="00000000" w:rsidR="00000000" w:rsidRPr="00000000">
        <w:rPr>
          <w:rtl w:val="0"/>
        </w:rPr>
        <w:t xml:space="preserve">Guides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(/knockout-strategy-guide)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(/cre-line-selection-guide)</w:t>
      </w:r>
    </w:p>
    <w:p w:rsidR="00000000" w:rsidDel="00000000" w:rsidP="00000000" w:rsidRDefault="00000000" w:rsidRPr="00000000" w14:paraId="000000B0">
      <w:pPr>
        <w:pStyle w:val="Heading1"/>
        <w:rPr/>
      </w:pPr>
      <w:r w:rsidDel="00000000" w:rsidR="00000000" w:rsidRPr="00000000">
        <w:rPr>
          <w:rtl w:val="0"/>
        </w:rPr>
        <w:t xml:space="preserve">Project Resources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B5">
      <w:pPr>
        <w:pStyle w:val="Heading1"/>
        <w:rPr/>
      </w:pPr>
      <w:r w:rsidDel="00000000" w:rsidR="00000000" w:rsidRPr="00000000">
        <w:rPr>
          <w:rtl w:val="0"/>
        </w:rPr>
        <w:t xml:space="preserve">Start Your Inducible Conditional Knockout Project</w:t>
      </w:r>
    </w:p>
    <w:p w:rsidR="00000000" w:rsidDel="00000000" w:rsidP="00000000" w:rsidRDefault="00000000" w:rsidRPr="00000000" w14:paraId="000000B6">
      <w:pPr>
        <w:rPr/>
      </w:pPr>
      <w:r w:rsidDel="00000000" w:rsidR="00000000" w:rsidRPr="00000000">
        <w:rPr>
          <w:rtl w:val="0"/>
        </w:rPr>
        <w:t xml:space="preserve">Our scientific consultants are ready to discuss your research requirements and optimal inducible strategy for your experimental goals. Initial consultation is provided at no charge and includes design considerations, timeline, and price estimates.</w:t>
      </w:r>
    </w:p>
    <w:p w:rsidR="00000000" w:rsidDel="00000000" w:rsidP="00000000" w:rsidRDefault="00000000" w:rsidRPr="00000000" w14:paraId="000000B7">
      <w:pPr>
        <w:rPr/>
      </w:pPr>
      <w:r w:rsidDel="00000000" w:rsidR="00000000" w:rsidRPr="00000000">
        <w:rPr>
          <w:rtl w:val="0"/>
        </w:rPr>
        <w:t xml:space="preserve">(/request-quote)</w:t>
      </w:r>
    </w:p>
    <w:p w:rsidR="00000000" w:rsidDel="00000000" w:rsidP="00000000" w:rsidRDefault="00000000" w:rsidRPr="00000000" w14:paraId="000000B8">
      <w:pPr>
        <w:rPr/>
      </w:pPr>
      <w:r w:rsidDel="00000000" w:rsidR="00000000" w:rsidRPr="00000000">
        <w:rPr>
          <w:rtl w:val="0"/>
        </w:rPr>
        <w:t xml:space="preserve">(/request-quote)</w:t>
      </w:r>
    </w:p>
    <w:p w:rsidR="00000000" w:rsidDel="00000000" w:rsidP="00000000" w:rsidRDefault="00000000" w:rsidRPr="00000000" w14:paraId="000000B9">
      <w:pPr>
        <w:pStyle w:val="Heading2"/>
        <w:rPr/>
      </w:pPr>
      <w:r w:rsidDel="00000000" w:rsidR="00000000" w:rsidRPr="00000000">
        <w:rPr>
          <w:rtl w:val="0"/>
        </w:rPr>
        <w:t xml:space="preserve">Quality Confirmation</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 (H1, H2, H3, PARA, TABLE, etc.)</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"inducible conditional knockout" in H1 and first paragraph</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 (inducible knockout, tamoxifen, CreERT2)</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2,500+ projects, 800+ publications)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and Positioning (no procedural methodology)</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Scientific content with technical depth</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publications with citations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internal links with keyword anchor text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"ITL" abbreviation used</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Ubiquitous CreERT2 driver table</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 specific CreERT2 driver table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Tamoxifen dosing table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Tet On/Tet Off comparison table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to use section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Technical considerations including controls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framed as pre germline characterization advantage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~2,100 (appropriate for model type page)</w:t>
      </w:r>
    </w:p>
    <w:p w:rsidR="00000000" w:rsidDel="00000000" w:rsidP="00000000" w:rsidRDefault="00000000" w:rsidRPr="00000000" w14:paraId="000000D0">
      <w:pPr>
        <w:pStyle w:val="Heading2"/>
        <w:rPr/>
      </w:pPr>
      <w:r w:rsidDel="00000000" w:rsidR="00000000" w:rsidRPr="00000000">
        <w:rPr>
          <w:rtl w:val="0"/>
        </w:rPr>
        <w:t xml:space="preserve">Frequently Asked Questions</w:t>
      </w:r>
    </w:p>
    <w:p w:rsidR="00000000" w:rsidDel="00000000" w:rsidP="00000000" w:rsidRDefault="00000000" w:rsidRPr="00000000" w14:paraId="000000D1">
      <w:pPr>
        <w:rPr/>
      </w:pPr>
      <w:r w:rsidDel="00000000" w:rsidR="00000000" w:rsidRPr="00000000">
        <w:rPr>
          <w:b w:val="1"/>
          <w:bCs w:val="1"/>
          <w:rtl w:val="0"/>
        </w:rPr>
        <w:t xml:space="preserve">What is the difference between inducible conditional knockout and regular conditional knockout?</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Inducible conditional knockout uses tamoxifen-inducible Cre (CreER) to enable temporal control of gene deletion. Regular conditional knockout uses constitutive Cre drivers that delete genes during development. Inducible systems allow adult-onset deletion, avoiding developmental effects and enabling study of acute gene function.</w:t>
      </w:r>
    </w:p>
    <w:p w:rsidR="00000000" w:rsidDel="00000000" w:rsidP="00000000" w:rsidRDefault="00000000" w:rsidRPr="00000000" w14:paraId="000000D3">
      <w:pPr>
        <w:rPr/>
      </w:pPr>
      <w:r w:rsidDel="00000000" w:rsidR="00000000" w:rsidRPr="00000000">
        <w:rPr>
          <w:b w:val="1"/>
          <w:bCs w:val="1"/>
          <w:rtl w:val="0"/>
        </w:rPr>
        <w:t xml:space="preserve">When should I use inducible knockout instead of constitutive conditional knockout?</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Use inducible knockout when genes are essential for development (would cause lethality if deleted early), when you need to study acute vs chronic phenotypes, when modeling drug target inhibition (requires adult-onset deletion), or when avoiding developmental compensation is important for revealing true gene function.</w:t>
      </w:r>
    </w:p>
    <w:p w:rsidR="00000000" w:rsidDel="00000000" w:rsidP="00000000" w:rsidRDefault="00000000" w:rsidRPr="00000000" w14:paraId="000000D5">
      <w:pPr>
        <w:rPr/>
      </w:pPr>
      <w:r w:rsidDel="00000000" w:rsidR="00000000" w:rsidRPr="00000000">
        <w:rPr>
          <w:b w:val="1"/>
          <w:bCs w:val="1"/>
          <w:rtl w:val="0"/>
        </w:rPr>
        <w:t xml:space="preserve">How is tamoxifen administered for inducible knockout?</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Tamoxifen is typically administered via IP injection (75-100 mg/kg for 3-5 days), oral gavage (100-200 mg/kg for 3-5 days), or tamoxifen diet (400 mg/kg chow for 1-4 weeks). IP injection and oral gavage provide rapid, high-efficiency recombination. Diet provides more convenient long-term administration.</w:t>
      </w:r>
    </w:p>
    <w:p w:rsidR="00000000" w:rsidDel="00000000" w:rsidP="00000000" w:rsidRDefault="00000000" w:rsidRPr="00000000" w14:paraId="000000D7">
      <w:pPr>
        <w:rPr/>
      </w:pPr>
      <w:r w:rsidDel="00000000" w:rsidR="00000000" w:rsidRPr="00000000">
        <w:rPr>
          <w:b w:val="1"/>
          <w:bCs w:val="1"/>
          <w:rtl w:val="0"/>
        </w:rPr>
        <w:t xml:space="preserve">What controls are needed for inducible knockout experiments?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Essential controls include Cre-positive, flox-negative mice (to detect Cre toxicity), flox-positive, Cre-negative mice (to detect tamoxifen effects), and vehicle-treated controls (to detect tamoxifen-specific effects). Reporter crosses (Rosa26-tdTomato) validate recombination efficiency in your specific system.</w:t>
      </w:r>
    </w:p>
    <w:p w:rsidR="00000000" w:rsidDel="00000000" w:rsidP="00000000" w:rsidRDefault="00000000" w:rsidRPr="00000000" w14:paraId="000000D9">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3729093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ubmed.ncbi.nlm.nih.gov/40199321/" TargetMode="External"/><Relationship Id="rId8" Type="http://schemas.openxmlformats.org/officeDocument/2006/relationships/hyperlink" Target="https://pubmed.ncbi.nlm.nih.gov/3855748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nrgdRE9VuToOl8v08n8rbLsoNQ==">CgMxLjA4AHIhMWthc1VZWmsyaElzRGo2SHdWYnZmdDV3cWRWMnF0MlNy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