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Point Mutation Mice | SNP Knockin Mouse Models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/point-mutation-mice</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point mutation mouse models for disease variant modeling. Precise SNP knockin at endogenous loci with pre germline verification.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point mutation mouse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SNP knockin mouse, disease mutation mouse model, single nucleotide variant mouse, missense mutation mouse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1900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Point Mutation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generated hundreds of point mutation mouse models for researchers studying disease mechanisms, protein function, and therapeutic development. Our mouse models have supported research published more than 800 peer reviewed articles, including in Science, Nature, and Cell.</w:t>
      </w:r>
    </w:p>
    <w:p w:rsidR="00000000" w:rsidDel="00000000" w:rsidP="00000000" w:rsidRDefault="00000000" w:rsidRPr="00000000" w14:paraId="0000000B">
      <w:pPr>
        <w:rPr/>
      </w:pPr>
      <w:r w:rsidDel="00000000" w:rsidR="00000000" w:rsidRPr="00000000">
        <w:rPr>
          <w:rtl w:val="0"/>
        </w:rPr>
        <w:t xml:space="preserve">Point mutation mice carry specific nucleotide changes at endogenous genomic loci, expressing variant proteins under normal regulatory control. Unlike overexpression systems, point mutation knockin models maintain physiological expression levels and tissue distribution, providing the most accurate representation of how disease associated variants affect gene function in vivo.</w:t>
      </w:r>
    </w:p>
    <w:p w:rsidR="00000000" w:rsidDel="00000000" w:rsidP="00000000" w:rsidRDefault="00000000" w:rsidRPr="00000000" w14:paraId="0000000C">
      <w:pPr>
        <w:rPr/>
      </w:pPr>
      <w:r w:rsidDel="00000000" w:rsidR="00000000" w:rsidRPr="00000000">
        <w:rPr>
          <w:rtl w:val="0"/>
        </w:rPr>
        <w:t xml:space="preserve">From modeling human disease variants to introducing phosphorylation site mutations for signaling studies, point mutation mice enable precise examination of how specific amino acid changes affect protein function, organismal phenotypes, and disease pathogenesis.</w:t>
      </w:r>
    </w:p>
    <w:p w:rsidR="00000000" w:rsidDel="00000000" w:rsidP="00000000" w:rsidRDefault="00000000" w:rsidRPr="00000000" w14:paraId="0000000D">
      <w:pPr>
        <w:pStyle w:val="Heading2"/>
        <w:rPr/>
      </w:pPr>
      <w:r w:rsidDel="00000000" w:rsidR="00000000" w:rsidRPr="00000000">
        <w:rPr>
          <w:rtl w:val="0"/>
        </w:rPr>
        <w:t xml:space="preserve">Applications of Point Mutation Models</w:t>
      </w:r>
    </w:p>
    <w:p w:rsidR="00000000" w:rsidDel="00000000" w:rsidP="00000000" w:rsidRDefault="00000000" w:rsidRPr="00000000" w14:paraId="0000000E">
      <w:pPr>
        <w:pStyle w:val="Heading3"/>
        <w:rPr/>
      </w:pPr>
      <w:r w:rsidDel="00000000" w:rsidR="00000000" w:rsidRPr="00000000">
        <w:rPr>
          <w:rtl w:val="0"/>
        </w:rPr>
        <w:t xml:space="preserve">Disease Variant Modeling</w:t>
      </w:r>
    </w:p>
    <w:p w:rsidR="00000000" w:rsidDel="00000000" w:rsidP="00000000" w:rsidRDefault="00000000" w:rsidRPr="00000000" w14:paraId="0000000F">
      <w:pPr>
        <w:rPr/>
      </w:pPr>
      <w:r w:rsidDel="00000000" w:rsidR="00000000" w:rsidRPr="00000000">
        <w:rPr>
          <w:rtl w:val="0"/>
        </w:rPr>
        <w:t xml:space="preserve">Human genetic studies identify disease associated variants, but understanding how these variants cause disease requires functional models: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GWAS variants:** Model SNPs identified in genome wide association studies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Mendelian disease mutations:** Reproduce mutations causing inherited disorders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Cancer driver mutations:** Express oncogenic point mutations at endogenous loci</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Pharmacogenomic variants:** Model variants affecting drug response</w:t>
      </w:r>
    </w:p>
    <w:p w:rsidR="00000000" w:rsidDel="00000000" w:rsidP="00000000" w:rsidRDefault="00000000" w:rsidRPr="00000000" w14:paraId="00000014">
      <w:pPr>
        <w:rPr/>
      </w:pPr>
      <w:r w:rsidDel="00000000" w:rsidR="00000000" w:rsidRPr="00000000">
        <w:rPr>
          <w:rtl w:val="0"/>
        </w:rPr>
        <w:t xml:space="preserve">Point mutation knockin provides definitive evidence linking specific variants to phenotypic outcomes.</w:t>
      </w:r>
    </w:p>
    <w:p w:rsidR="00000000" w:rsidDel="00000000" w:rsidP="00000000" w:rsidRDefault="00000000" w:rsidRPr="00000000" w14:paraId="00000015">
      <w:pPr>
        <w:pStyle w:val="Heading3"/>
        <w:rPr/>
      </w:pPr>
      <w:r w:rsidDel="00000000" w:rsidR="00000000" w:rsidRPr="00000000">
        <w:rPr>
          <w:rtl w:val="0"/>
        </w:rPr>
        <w:t xml:space="preserve">Protein Function Studies</w:t>
      </w:r>
    </w:p>
    <w:p w:rsidR="00000000" w:rsidDel="00000000" w:rsidP="00000000" w:rsidRDefault="00000000" w:rsidRPr="00000000" w14:paraId="00000016">
      <w:pPr>
        <w:rPr/>
      </w:pPr>
      <w:r w:rsidDel="00000000" w:rsidR="00000000" w:rsidRPr="00000000">
        <w:rPr>
          <w:rtl w:val="0"/>
        </w:rPr>
        <w:t xml:space="preserve">Point mutations enable precise dissection of protein function: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Catalytic site mutations:** Abolish enzymatic activity while preserving protein expression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Phosphorylation site mutations:** Block or mimic phosphorylation to study signaling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Binding site mutations:** Disrupt specific protein</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protein or protein</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ligand interactions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Domain function:** Identify essential residues within functional domains</w:t>
      </w:r>
    </w:p>
    <w:p w:rsidR="00000000" w:rsidDel="00000000" w:rsidP="00000000" w:rsidRDefault="00000000" w:rsidRPr="00000000" w14:paraId="0000001B">
      <w:pPr>
        <w:pStyle w:val="Heading3"/>
        <w:rPr/>
      </w:pPr>
      <w:r w:rsidDel="00000000" w:rsidR="00000000" w:rsidRPr="00000000">
        <w:rPr>
          <w:rtl w:val="0"/>
        </w:rPr>
        <w:t xml:space="preserve">Drug Target Modeling</w:t>
      </w:r>
    </w:p>
    <w:p w:rsidR="00000000" w:rsidDel="00000000" w:rsidP="00000000" w:rsidRDefault="00000000" w:rsidRPr="00000000" w14:paraId="0000001C">
      <w:pPr>
        <w:rPr/>
      </w:pPr>
      <w:r w:rsidDel="00000000" w:rsidR="00000000" w:rsidRPr="00000000">
        <w:rPr>
          <w:rtl w:val="0"/>
        </w:rPr>
        <w:t xml:space="preserve">Point mutation models support therapeutic development: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Resistance mutations:** Model drug resistance variants for next generation compound development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 binding sites:** Enable testing of human specific therapeutics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Gain of function variants:** Model activating mutations as therapeutic targets</w:t>
      </w:r>
    </w:p>
    <w:p w:rsidR="00000000" w:rsidDel="00000000" w:rsidP="00000000" w:rsidRDefault="00000000" w:rsidRPr="00000000" w14:paraId="00000020">
      <w:pPr>
        <w:pStyle w:val="Heading2"/>
        <w:rPr/>
      </w:pPr>
      <w:r w:rsidDel="00000000" w:rsidR="00000000" w:rsidRPr="00000000">
        <w:rPr>
          <w:rtl w:val="0"/>
        </w:rPr>
        <w:t xml:space="preserve">Types of Point Mutations</w:t>
      </w:r>
    </w:p>
    <w:p w:rsidR="00000000" w:rsidDel="00000000" w:rsidP="00000000" w:rsidRDefault="00000000" w:rsidRPr="00000000" w14:paraId="00000021">
      <w:pPr>
        <w:pStyle w:val="Heading3"/>
        <w:rPr/>
      </w:pPr>
      <w:r w:rsidDel="00000000" w:rsidR="00000000" w:rsidRPr="00000000">
        <w:rPr>
          <w:rtl w:val="0"/>
        </w:rPr>
        <w:t xml:space="preserve">Missense Mutations</w:t>
      </w:r>
    </w:p>
    <w:p w:rsidR="00000000" w:rsidDel="00000000" w:rsidP="00000000" w:rsidRDefault="00000000" w:rsidRPr="00000000" w14:paraId="00000022">
      <w:pPr>
        <w:rPr/>
      </w:pPr>
      <w:r w:rsidDel="00000000" w:rsidR="00000000" w:rsidRPr="00000000">
        <w:rPr>
          <w:rtl w:val="0"/>
        </w:rPr>
        <w:t xml:space="preserve">Single nucleotide changes that alter the encoded amino acid: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 common type of disease associated coding variant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affect protein folding, stability, or function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Phenotypic severity varies from silent to lethal</w:t>
      </w:r>
    </w:p>
    <w:p w:rsidR="00000000" w:rsidDel="00000000" w:rsidP="00000000" w:rsidRDefault="00000000" w:rsidRPr="00000000" w14:paraId="00000026">
      <w:pPr>
        <w:pStyle w:val="Heading3"/>
        <w:rPr/>
      </w:pPr>
      <w:r w:rsidDel="00000000" w:rsidR="00000000" w:rsidRPr="00000000">
        <w:rPr>
          <w:rtl w:val="0"/>
        </w:rPr>
        <w:t xml:space="preserve">Nonsense Mutations</w:t>
      </w:r>
    </w:p>
    <w:p w:rsidR="00000000" w:rsidDel="00000000" w:rsidP="00000000" w:rsidRDefault="00000000" w:rsidRPr="00000000" w14:paraId="00000027">
      <w:pPr>
        <w:rPr/>
      </w:pPr>
      <w:r w:rsidDel="00000000" w:rsidR="00000000" w:rsidRPr="00000000">
        <w:rPr>
          <w:rtl w:val="0"/>
        </w:rPr>
        <w:t xml:space="preserve">Single nucleotide changes that create premature stop codons: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Typically result in truncated, non functional proteins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May trigger nonsense mediated decay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 loss of function alleles</w:t>
      </w:r>
    </w:p>
    <w:p w:rsidR="00000000" w:rsidDel="00000000" w:rsidP="00000000" w:rsidRDefault="00000000" w:rsidRPr="00000000" w14:paraId="0000002B">
      <w:pPr>
        <w:pStyle w:val="Heading3"/>
        <w:rPr/>
      </w:pPr>
      <w:r w:rsidDel="00000000" w:rsidR="00000000" w:rsidRPr="00000000">
        <w:rPr>
          <w:rtl w:val="0"/>
        </w:rPr>
        <w:t xml:space="preserve">Silent Mutations</w:t>
      </w:r>
    </w:p>
    <w:p w:rsidR="00000000" w:rsidDel="00000000" w:rsidP="00000000" w:rsidRDefault="00000000" w:rsidRPr="00000000" w14:paraId="0000002C">
      <w:pPr>
        <w:rPr/>
      </w:pPr>
      <w:r w:rsidDel="00000000" w:rsidR="00000000" w:rsidRPr="00000000">
        <w:rPr>
          <w:rtl w:val="0"/>
        </w:rPr>
        <w:t xml:space="preserve">Nucleotide changes that do not alter the encoded amino acid:</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 restriction sites for genotyping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Serve as linked markers for allele tracking</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Control for targeting procedure effects</w:t>
      </w:r>
    </w:p>
    <w:p w:rsidR="00000000" w:rsidDel="00000000" w:rsidP="00000000" w:rsidRDefault="00000000" w:rsidRPr="00000000" w14:paraId="00000030">
      <w:pPr>
        <w:pStyle w:val="Heading3"/>
        <w:rPr/>
      </w:pPr>
      <w:r w:rsidDel="00000000" w:rsidR="00000000" w:rsidRPr="00000000">
        <w:rPr>
          <w:rtl w:val="0"/>
        </w:rPr>
        <w:t xml:space="preserve">Regulatory Mutations</w:t>
      </w:r>
    </w:p>
    <w:p w:rsidR="00000000" w:rsidDel="00000000" w:rsidP="00000000" w:rsidRDefault="00000000" w:rsidRPr="00000000" w14:paraId="00000031">
      <w:pPr>
        <w:rPr/>
      </w:pPr>
      <w:r w:rsidDel="00000000" w:rsidR="00000000" w:rsidRPr="00000000">
        <w:rPr>
          <w:rtl w:val="0"/>
        </w:rPr>
        <w:t xml:space="preserve">Changes in non coding regulatory sequences: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Promoter or enhancer variants affecting expression level</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Splice site variants affecting transcript processing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UTR variants affecting mRNA stability or translation</w:t>
      </w:r>
    </w:p>
    <w:p w:rsidR="00000000" w:rsidDel="00000000" w:rsidP="00000000" w:rsidRDefault="00000000" w:rsidRPr="00000000" w14:paraId="00000035">
      <w:pPr>
        <w:pStyle w:val="Heading2"/>
        <w:rPr/>
      </w:pPr>
      <w:r w:rsidDel="00000000" w:rsidR="00000000" w:rsidRPr="00000000">
        <w:rPr>
          <w:rtl w:val="0"/>
        </w:rPr>
        <w:t xml:space="preserve">Common Point Mutation Applications</w:t>
      </w:r>
    </w:p>
    <w:p w:rsidR="00000000" w:rsidDel="00000000" w:rsidP="00000000" w:rsidRDefault="00000000" w:rsidRPr="00000000" w14:paraId="00000036">
      <w:pPr>
        <w:pStyle w:val="Heading3"/>
        <w:rPr/>
      </w:pPr>
      <w:r w:rsidDel="00000000" w:rsidR="00000000" w:rsidRPr="00000000">
        <w:rPr>
          <w:rtl w:val="0"/>
        </w:rPr>
        <w:t xml:space="preserve">Phosphorylation Site Mutations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7">
            <w:pPr>
              <w:rPr/>
            </w:pPr>
            <w:r w:rsidDel="00000000" w:rsidR="00000000" w:rsidRPr="00000000">
              <w:rPr>
                <w:rtl w:val="0"/>
              </w:rPr>
              <w:t xml:space="preserve">Mutation Type</w:t>
            </w:r>
          </w:p>
        </w:tc>
        <w:tc>
          <w:tcPr/>
          <w:p w:rsidR="00000000" w:rsidDel="00000000" w:rsidP="00000000" w:rsidRDefault="00000000" w:rsidRPr="00000000" w14:paraId="00000038">
            <w:pPr>
              <w:rPr/>
            </w:pPr>
            <w:r w:rsidDel="00000000" w:rsidR="00000000" w:rsidRPr="00000000">
              <w:rPr>
                <w:rtl w:val="0"/>
              </w:rPr>
              <w:t xml:space="preserve">Effect</w:t>
            </w:r>
          </w:p>
        </w:tc>
        <w:tc>
          <w:tcPr/>
          <w:p w:rsidR="00000000" w:rsidDel="00000000" w:rsidP="00000000" w:rsidRDefault="00000000" w:rsidRPr="00000000" w14:paraId="00000039">
            <w:pPr>
              <w:rPr/>
            </w:pPr>
            <w:r w:rsidDel="00000000" w:rsidR="00000000" w:rsidRPr="00000000">
              <w:rPr>
                <w:rtl w:val="0"/>
              </w:rPr>
              <w:t xml:space="preserve">Application</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Serine to Alanine (S→A)</w:t>
            </w:r>
          </w:p>
        </w:tc>
        <w:tc>
          <w:tcPr/>
          <w:p w:rsidR="00000000" w:rsidDel="00000000" w:rsidP="00000000" w:rsidRDefault="00000000" w:rsidRPr="00000000" w14:paraId="0000003B">
            <w:pPr>
              <w:rPr/>
            </w:pPr>
            <w:r w:rsidDel="00000000" w:rsidR="00000000" w:rsidRPr="00000000">
              <w:rPr>
                <w:rtl w:val="0"/>
              </w:rPr>
              <w:t xml:space="preserve">Blocks phosphorylation</w:t>
            </w:r>
          </w:p>
        </w:tc>
        <w:tc>
          <w:tcPr/>
          <w:p w:rsidR="00000000" w:rsidDel="00000000" w:rsidP="00000000" w:rsidRDefault="00000000" w:rsidRPr="00000000" w14:paraId="0000003C">
            <w:pPr>
              <w:rPr/>
            </w:pPr>
            <w:r w:rsidDel="00000000" w:rsidR="00000000" w:rsidRPr="00000000">
              <w:rPr>
                <w:rtl w:val="0"/>
              </w:rPr>
              <w:t xml:space="preserve">Loss of phospho regulation</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Threonine to Alanine (T→A)</w:t>
            </w:r>
          </w:p>
        </w:tc>
        <w:tc>
          <w:tcPr/>
          <w:p w:rsidR="00000000" w:rsidDel="00000000" w:rsidP="00000000" w:rsidRDefault="00000000" w:rsidRPr="00000000" w14:paraId="0000003E">
            <w:pPr>
              <w:rPr/>
            </w:pPr>
            <w:r w:rsidDel="00000000" w:rsidR="00000000" w:rsidRPr="00000000">
              <w:rPr>
                <w:rtl w:val="0"/>
              </w:rPr>
              <w:t xml:space="preserve">Blocks phosphorylation</w:t>
            </w:r>
          </w:p>
        </w:tc>
        <w:tc>
          <w:tcPr/>
          <w:p w:rsidR="00000000" w:rsidDel="00000000" w:rsidP="00000000" w:rsidRDefault="00000000" w:rsidRPr="00000000" w14:paraId="0000003F">
            <w:pPr>
              <w:rPr/>
            </w:pPr>
            <w:r w:rsidDel="00000000" w:rsidR="00000000" w:rsidRPr="00000000">
              <w:rPr>
                <w:rtl w:val="0"/>
              </w:rPr>
              <w:t xml:space="preserve">Loss of phospho regulation</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Tyrosine to Phenylalanine (Y→F)</w:t>
            </w:r>
          </w:p>
        </w:tc>
        <w:tc>
          <w:tcPr/>
          <w:p w:rsidR="00000000" w:rsidDel="00000000" w:rsidP="00000000" w:rsidRDefault="00000000" w:rsidRPr="00000000" w14:paraId="00000041">
            <w:pPr>
              <w:rPr/>
            </w:pPr>
            <w:r w:rsidDel="00000000" w:rsidR="00000000" w:rsidRPr="00000000">
              <w:rPr>
                <w:rtl w:val="0"/>
              </w:rPr>
              <w:t xml:space="preserve">Blocks phosphorylation</w:t>
            </w:r>
          </w:p>
        </w:tc>
        <w:tc>
          <w:tcPr/>
          <w:p w:rsidR="00000000" w:rsidDel="00000000" w:rsidP="00000000" w:rsidRDefault="00000000" w:rsidRPr="00000000" w14:paraId="00000042">
            <w:pPr>
              <w:rPr/>
            </w:pPr>
            <w:r w:rsidDel="00000000" w:rsidR="00000000" w:rsidRPr="00000000">
              <w:rPr>
                <w:rtl w:val="0"/>
              </w:rPr>
              <w:t xml:space="preserve">Loss of phospho regulation</w:t>
            </w:r>
          </w:p>
        </w:tc>
      </w:tr>
      <w:tr>
        <w:trPr>
          <w:cantSplit w:val="0"/>
          <w:tblHeader w:val="0"/>
        </w:trPr>
        <w:tc>
          <w:tcPr/>
          <w:p w:rsidR="00000000" w:rsidDel="00000000" w:rsidP="00000000" w:rsidRDefault="00000000" w:rsidRPr="00000000" w14:paraId="00000043">
            <w:pPr>
              <w:rPr/>
            </w:pPr>
            <w:r w:rsidDel="00000000" w:rsidR="00000000" w:rsidRPr="00000000">
              <w:rPr>
                <w:rtl w:val="0"/>
              </w:rPr>
              <w:t xml:space="preserve">Serine to Aspartate (S→D)</w:t>
            </w:r>
          </w:p>
        </w:tc>
        <w:tc>
          <w:tcPr/>
          <w:p w:rsidR="00000000" w:rsidDel="00000000" w:rsidP="00000000" w:rsidRDefault="00000000" w:rsidRPr="00000000" w14:paraId="00000044">
            <w:pPr>
              <w:rPr/>
            </w:pPr>
            <w:r w:rsidDel="00000000" w:rsidR="00000000" w:rsidRPr="00000000">
              <w:rPr>
                <w:rtl w:val="0"/>
              </w:rPr>
              <w:t xml:space="preserve">Mimics phosphorylation</w:t>
            </w:r>
          </w:p>
        </w:tc>
        <w:tc>
          <w:tcPr/>
          <w:p w:rsidR="00000000" w:rsidDel="00000000" w:rsidP="00000000" w:rsidRDefault="00000000" w:rsidRPr="00000000" w14:paraId="00000045">
            <w:pPr>
              <w:rPr/>
            </w:pPr>
            <w:r w:rsidDel="00000000" w:rsidR="00000000" w:rsidRPr="00000000">
              <w:rPr>
                <w:rtl w:val="0"/>
              </w:rPr>
              <w:t xml:space="preserve">Constitutive activation</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Serine to Glutamate (S→E)</w:t>
            </w:r>
          </w:p>
        </w:tc>
        <w:tc>
          <w:tcPr/>
          <w:p w:rsidR="00000000" w:rsidDel="00000000" w:rsidP="00000000" w:rsidRDefault="00000000" w:rsidRPr="00000000" w14:paraId="00000047">
            <w:pPr>
              <w:rPr/>
            </w:pPr>
            <w:r w:rsidDel="00000000" w:rsidR="00000000" w:rsidRPr="00000000">
              <w:rPr>
                <w:rtl w:val="0"/>
              </w:rPr>
              <w:t xml:space="preserve">Mimics phosphorylation</w:t>
            </w:r>
          </w:p>
        </w:tc>
        <w:tc>
          <w:tcPr/>
          <w:p w:rsidR="00000000" w:rsidDel="00000000" w:rsidP="00000000" w:rsidRDefault="00000000" w:rsidRPr="00000000" w14:paraId="00000048">
            <w:pPr>
              <w:rPr/>
            </w:pPr>
            <w:r w:rsidDel="00000000" w:rsidR="00000000" w:rsidRPr="00000000">
              <w:rPr>
                <w:rtl w:val="0"/>
              </w:rPr>
              <w:t xml:space="preserve">Constitutive activation</w:t>
            </w:r>
          </w:p>
        </w:tc>
      </w:tr>
    </w:tbl>
    <w:p w:rsidR="00000000" w:rsidDel="00000000" w:rsidP="00000000" w:rsidRDefault="00000000" w:rsidRPr="00000000" w14:paraId="00000049">
      <w:pPr>
        <w:pStyle w:val="Heading3"/>
        <w:rPr/>
      </w:pPr>
      <w:r w:rsidDel="00000000" w:rsidR="00000000" w:rsidRPr="00000000">
        <w:rPr>
          <w:rtl w:val="0"/>
        </w:rPr>
        <w:t xml:space="preserve">Common Disease Mutations</w:t>
      </w:r>
    </w:p>
    <w:tbl>
      <w:tblPr>
        <w:tblStyle w:val="Table2"/>
        <w:tblW w:w="8640.0" w:type="dxa"/>
        <w:jc w:val="left"/>
        <w:tblInd w:w="-115.0" w:type="dxa"/>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4A">
            <w:pPr>
              <w:rPr/>
            </w:pPr>
            <w:r w:rsidDel="00000000" w:rsidR="00000000" w:rsidRPr="00000000">
              <w:rPr>
                <w:rtl w:val="0"/>
              </w:rPr>
              <w:t xml:space="preserve">Gene</w:t>
            </w:r>
          </w:p>
        </w:tc>
        <w:tc>
          <w:tcPr/>
          <w:p w:rsidR="00000000" w:rsidDel="00000000" w:rsidP="00000000" w:rsidRDefault="00000000" w:rsidRPr="00000000" w14:paraId="0000004B">
            <w:pPr>
              <w:rPr/>
            </w:pPr>
            <w:r w:rsidDel="00000000" w:rsidR="00000000" w:rsidRPr="00000000">
              <w:rPr>
                <w:rtl w:val="0"/>
              </w:rPr>
              <w:t xml:space="preserve">Mutation</w:t>
            </w:r>
          </w:p>
        </w:tc>
        <w:tc>
          <w:tcPr/>
          <w:p w:rsidR="00000000" w:rsidDel="00000000" w:rsidP="00000000" w:rsidRDefault="00000000" w:rsidRPr="00000000" w14:paraId="0000004C">
            <w:pPr>
              <w:rPr/>
            </w:pPr>
            <w:r w:rsidDel="00000000" w:rsidR="00000000" w:rsidRPr="00000000">
              <w:rPr>
                <w:rtl w:val="0"/>
              </w:rPr>
              <w:t xml:space="preserve">Disease</w:t>
            </w:r>
          </w:p>
        </w:tc>
        <w:tc>
          <w:tcPr/>
          <w:p w:rsidR="00000000" w:rsidDel="00000000" w:rsidP="00000000" w:rsidRDefault="00000000" w:rsidRPr="00000000" w14:paraId="0000004D">
            <w:pPr>
              <w:rPr/>
            </w:pPr>
            <w:r w:rsidDel="00000000" w:rsidR="00000000" w:rsidRPr="00000000">
              <w:rPr>
                <w:rtl w:val="0"/>
              </w:rPr>
              <w:t xml:space="preserve">Application</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APP</w:t>
            </w:r>
          </w:p>
        </w:tc>
        <w:tc>
          <w:tcPr/>
          <w:p w:rsidR="00000000" w:rsidDel="00000000" w:rsidP="00000000" w:rsidRDefault="00000000" w:rsidRPr="00000000" w14:paraId="0000004F">
            <w:pPr>
              <w:rPr/>
            </w:pPr>
            <w:r w:rsidDel="00000000" w:rsidR="00000000" w:rsidRPr="00000000">
              <w:rPr>
                <w:rtl w:val="0"/>
              </w:rPr>
              <w:t xml:space="preserve">Swedish (K670N/M671L)</w:t>
            </w:r>
          </w:p>
        </w:tc>
        <w:tc>
          <w:tcPr/>
          <w:p w:rsidR="00000000" w:rsidDel="00000000" w:rsidP="00000000" w:rsidRDefault="00000000" w:rsidRPr="00000000" w14:paraId="00000050">
            <w:pPr>
              <w:rPr/>
            </w:pPr>
            <w:r w:rsidDel="00000000" w:rsidR="00000000" w:rsidRPr="00000000">
              <w:rPr>
                <w:rtl w:val="0"/>
              </w:rPr>
              <w:t xml:space="preserve">Alzheimer disease</w:t>
            </w:r>
          </w:p>
        </w:tc>
        <w:tc>
          <w:tcPr/>
          <w:p w:rsidR="00000000" w:rsidDel="00000000" w:rsidP="00000000" w:rsidRDefault="00000000" w:rsidRPr="00000000" w14:paraId="00000051">
            <w:pPr>
              <w:rPr/>
            </w:pPr>
            <w:r w:rsidDel="00000000" w:rsidR="00000000" w:rsidRPr="00000000">
              <w:rPr>
                <w:rtl w:val="0"/>
              </w:rPr>
              <w:t xml:space="preserve">Amyloid pathology</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KRAS</w:t>
            </w:r>
          </w:p>
        </w:tc>
        <w:tc>
          <w:tcPr/>
          <w:p w:rsidR="00000000" w:rsidDel="00000000" w:rsidP="00000000" w:rsidRDefault="00000000" w:rsidRPr="00000000" w14:paraId="00000053">
            <w:pPr>
              <w:rPr/>
            </w:pPr>
            <w:r w:rsidDel="00000000" w:rsidR="00000000" w:rsidRPr="00000000">
              <w:rPr>
                <w:rtl w:val="0"/>
              </w:rPr>
              <w:t xml:space="preserve">G12D, G12V, G12C</w:t>
            </w:r>
          </w:p>
        </w:tc>
        <w:tc>
          <w:tcPr/>
          <w:p w:rsidR="00000000" w:rsidDel="00000000" w:rsidP="00000000" w:rsidRDefault="00000000" w:rsidRPr="00000000" w14:paraId="00000054">
            <w:pPr>
              <w:rPr/>
            </w:pPr>
            <w:r w:rsidDel="00000000" w:rsidR="00000000" w:rsidRPr="00000000">
              <w:rPr>
                <w:rtl w:val="0"/>
              </w:rPr>
              <w:t xml:space="preserve">Cancer</w:t>
            </w:r>
          </w:p>
        </w:tc>
        <w:tc>
          <w:tcPr/>
          <w:p w:rsidR="00000000" w:rsidDel="00000000" w:rsidP="00000000" w:rsidRDefault="00000000" w:rsidRPr="00000000" w14:paraId="00000055">
            <w:pPr>
              <w:rPr/>
            </w:pPr>
            <w:r w:rsidDel="00000000" w:rsidR="00000000" w:rsidRPr="00000000">
              <w:rPr>
                <w:rtl w:val="0"/>
              </w:rPr>
              <w:t xml:space="preserve">Oncogenic signaling</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BRAF</w:t>
            </w:r>
          </w:p>
        </w:tc>
        <w:tc>
          <w:tcPr/>
          <w:p w:rsidR="00000000" w:rsidDel="00000000" w:rsidP="00000000" w:rsidRDefault="00000000" w:rsidRPr="00000000" w14:paraId="00000057">
            <w:pPr>
              <w:rPr/>
            </w:pPr>
            <w:r w:rsidDel="00000000" w:rsidR="00000000" w:rsidRPr="00000000">
              <w:rPr>
                <w:rtl w:val="0"/>
              </w:rPr>
              <w:t xml:space="preserve">V600E</w:t>
            </w:r>
          </w:p>
        </w:tc>
        <w:tc>
          <w:tcPr/>
          <w:p w:rsidR="00000000" w:rsidDel="00000000" w:rsidP="00000000" w:rsidRDefault="00000000" w:rsidRPr="00000000" w14:paraId="00000058">
            <w:pPr>
              <w:rPr/>
            </w:pPr>
            <w:r w:rsidDel="00000000" w:rsidR="00000000" w:rsidRPr="00000000">
              <w:rPr>
                <w:rtl w:val="0"/>
              </w:rPr>
              <w:t xml:space="preserve">Melanoma</w:t>
            </w:r>
          </w:p>
        </w:tc>
        <w:tc>
          <w:tcPr/>
          <w:p w:rsidR="00000000" w:rsidDel="00000000" w:rsidP="00000000" w:rsidRDefault="00000000" w:rsidRPr="00000000" w14:paraId="00000059">
            <w:pPr>
              <w:rPr/>
            </w:pPr>
            <w:r w:rsidDel="00000000" w:rsidR="00000000" w:rsidRPr="00000000">
              <w:rPr>
                <w:rtl w:val="0"/>
              </w:rPr>
              <w:t xml:space="preserve">Targeted therapy studies</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SOD1</w:t>
            </w:r>
          </w:p>
        </w:tc>
        <w:tc>
          <w:tcPr/>
          <w:p w:rsidR="00000000" w:rsidDel="00000000" w:rsidP="00000000" w:rsidRDefault="00000000" w:rsidRPr="00000000" w14:paraId="0000005B">
            <w:pPr>
              <w:rPr/>
            </w:pPr>
            <w:r w:rsidDel="00000000" w:rsidR="00000000" w:rsidRPr="00000000">
              <w:rPr>
                <w:rtl w:val="0"/>
              </w:rPr>
              <w:t xml:space="preserve">G93A</w:t>
            </w:r>
          </w:p>
        </w:tc>
        <w:tc>
          <w:tcPr/>
          <w:p w:rsidR="00000000" w:rsidDel="00000000" w:rsidP="00000000" w:rsidRDefault="00000000" w:rsidRPr="00000000" w14:paraId="0000005C">
            <w:pPr>
              <w:rPr/>
            </w:pPr>
            <w:r w:rsidDel="00000000" w:rsidR="00000000" w:rsidRPr="00000000">
              <w:rPr>
                <w:rtl w:val="0"/>
              </w:rPr>
              <w:t xml:space="preserve">ALS</w:t>
            </w:r>
          </w:p>
        </w:tc>
        <w:tc>
          <w:tcPr/>
          <w:p w:rsidR="00000000" w:rsidDel="00000000" w:rsidP="00000000" w:rsidRDefault="00000000" w:rsidRPr="00000000" w14:paraId="0000005D">
            <w:pPr>
              <w:rPr/>
            </w:pPr>
            <w:r w:rsidDel="00000000" w:rsidR="00000000" w:rsidRPr="00000000">
              <w:rPr>
                <w:rtl w:val="0"/>
              </w:rPr>
              <w:t xml:space="preserve">Motor neuron disease</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CFTR</w:t>
            </w:r>
          </w:p>
        </w:tc>
        <w:tc>
          <w:tcPr/>
          <w:p w:rsidR="00000000" w:rsidDel="00000000" w:rsidP="00000000" w:rsidRDefault="00000000" w:rsidRPr="00000000" w14:paraId="0000005F">
            <w:pPr>
              <w:rPr/>
            </w:pPr>
            <w:r w:rsidDel="00000000" w:rsidR="00000000" w:rsidRPr="00000000">
              <w:rPr>
                <w:rtl w:val="0"/>
              </w:rPr>
              <w:t xml:space="preserve">F508del</w:t>
            </w:r>
          </w:p>
        </w:tc>
        <w:tc>
          <w:tcPr/>
          <w:p w:rsidR="00000000" w:rsidDel="00000000" w:rsidP="00000000" w:rsidRDefault="00000000" w:rsidRPr="00000000" w14:paraId="00000060">
            <w:pPr>
              <w:rPr/>
            </w:pPr>
            <w:r w:rsidDel="00000000" w:rsidR="00000000" w:rsidRPr="00000000">
              <w:rPr>
                <w:rtl w:val="0"/>
              </w:rPr>
              <w:t xml:space="preserve">Cystic fibrosis</w:t>
            </w:r>
          </w:p>
        </w:tc>
        <w:tc>
          <w:tcPr/>
          <w:p w:rsidR="00000000" w:rsidDel="00000000" w:rsidP="00000000" w:rsidRDefault="00000000" w:rsidRPr="00000000" w14:paraId="00000061">
            <w:pPr>
              <w:rPr/>
            </w:pPr>
            <w:r w:rsidDel="00000000" w:rsidR="00000000" w:rsidRPr="00000000">
              <w:rPr>
                <w:rtl w:val="0"/>
              </w:rPr>
              <w:t xml:space="preserve">Protein folding</w:t>
            </w:r>
          </w:p>
        </w:tc>
      </w:tr>
    </w:tbl>
    <w:p w:rsidR="00000000" w:rsidDel="00000000" w:rsidP="00000000" w:rsidRDefault="00000000" w:rsidRPr="00000000" w14:paraId="00000062">
      <w:pPr>
        <w:pStyle w:val="Heading3"/>
        <w:rPr/>
      </w:pPr>
      <w:r w:rsidDel="00000000" w:rsidR="00000000" w:rsidRPr="00000000">
        <w:rPr>
          <w:rtl w:val="0"/>
        </w:rPr>
        <w:t xml:space="preserve">Catalytic Site Mutations</w:t>
      </w:r>
    </w:p>
    <w:p w:rsidR="00000000" w:rsidDel="00000000" w:rsidP="00000000" w:rsidRDefault="00000000" w:rsidRPr="00000000" w14:paraId="00000063">
      <w:pPr>
        <w:rPr/>
      </w:pPr>
      <w:r w:rsidDel="00000000" w:rsidR="00000000" w:rsidRPr="00000000">
        <w:rPr>
          <w:rtl w:val="0"/>
        </w:rPr>
        <w:t xml:space="preserve">Mutations that abolish enzymatic activity while preserving protein expression enable study of non catalytic protein functions: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Kinase dead mutations (K→R in ATP binding site)</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Protease dead mutations (active site residue changes)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Phosphatase dead mutations (catalytic cysteine changes)</w:t>
      </w:r>
    </w:p>
    <w:p w:rsidR="00000000" w:rsidDel="00000000" w:rsidP="00000000" w:rsidRDefault="00000000" w:rsidRPr="00000000" w14:paraId="00000067">
      <w:pPr>
        <w:pStyle w:val="Heading2"/>
        <w:rPr/>
      </w:pPr>
      <w:r w:rsidDel="00000000" w:rsidR="00000000" w:rsidRPr="00000000">
        <w:rPr>
          <w:rtl w:val="0"/>
        </w:rPr>
        <w:t xml:space="preserve">Technical Approach</w:t>
      </w:r>
    </w:p>
    <w:p w:rsidR="00000000" w:rsidDel="00000000" w:rsidP="00000000" w:rsidRDefault="00000000" w:rsidRPr="00000000" w14:paraId="00000068">
      <w:pPr>
        <w:pStyle w:val="Heading3"/>
        <w:rPr/>
      </w:pPr>
      <w:r w:rsidDel="00000000" w:rsidR="00000000" w:rsidRPr="00000000">
        <w:rPr>
          <w:rtl w:val="0"/>
        </w:rPr>
        <w:t xml:space="preserve">Allele Design Options</w:t>
      </w:r>
    </w:p>
    <w:p w:rsidR="00000000" w:rsidDel="00000000" w:rsidP="00000000" w:rsidRDefault="00000000" w:rsidRPr="00000000" w14:paraId="00000069">
      <w:pPr>
        <w:rPr/>
      </w:pPr>
      <w:r w:rsidDel="00000000" w:rsidR="00000000" w:rsidRPr="00000000">
        <w:rPr>
          <w:rtl w:val="0"/>
        </w:rPr>
        <w:t xml:space="preserve">Point mutation alleles can be designed with varying complexity:</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 knockin:** Point mutation only</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 point mutation:** loxP flanked wildtype exon enables Cre mediated conversion to mutant. </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 point mutation:** Combine with inducible Cre for temporal control</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Dual reporter:** Fluorescent markers distinguish wildtype from mutant expressing cells</w:t>
      </w:r>
    </w:p>
    <w:p w:rsidR="00000000" w:rsidDel="00000000" w:rsidP="00000000" w:rsidRDefault="00000000" w:rsidRPr="00000000" w14:paraId="0000006E">
      <w:pPr>
        <w:pStyle w:val="Heading2"/>
        <w:rPr/>
      </w:pPr>
      <w:r w:rsidDel="00000000" w:rsidR="00000000" w:rsidRPr="00000000">
        <w:rPr>
          <w:rtl w:val="0"/>
        </w:rPr>
        <w:t xml:space="preserve">Experimental Considerations</w:t>
      </w:r>
    </w:p>
    <w:p w:rsidR="00000000" w:rsidDel="00000000" w:rsidP="00000000" w:rsidRDefault="00000000" w:rsidRPr="00000000" w14:paraId="0000006F">
      <w:pPr>
        <w:pStyle w:val="Heading3"/>
        <w:rPr/>
      </w:pPr>
      <w:r w:rsidDel="00000000" w:rsidR="00000000" w:rsidRPr="00000000">
        <w:rPr>
          <w:rtl w:val="0"/>
        </w:rPr>
        <w:t xml:space="preserve">Homozygous vs Heterozygous Analysis</w:t>
      </w:r>
    </w:p>
    <w:p w:rsidR="00000000" w:rsidDel="00000000" w:rsidP="00000000" w:rsidRDefault="00000000" w:rsidRPr="00000000" w14:paraId="00000070">
      <w:pPr>
        <w:rPr/>
      </w:pPr>
      <w:r w:rsidDel="00000000" w:rsidR="00000000" w:rsidRPr="00000000">
        <w:rPr>
          <w:rtl w:val="0"/>
        </w:rPr>
        <w:t xml:space="preserve">Consider the genetics of your disease or question: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Dominant mutations:** Heterozygotes may show phenotype; homozygotes may be more severe or lethal</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Recessive mutations:** Homozygotes required for phenotype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Haploinsufficiency:** Heterozygotes show partial phenotype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Gain of function:** One copy may suffice for full effect</w:t>
      </w:r>
    </w:p>
    <w:p w:rsidR="00000000" w:rsidDel="00000000" w:rsidP="00000000" w:rsidRDefault="00000000" w:rsidRPr="00000000" w14:paraId="00000075">
      <w:pPr>
        <w:pStyle w:val="Heading3"/>
        <w:rPr/>
      </w:pPr>
      <w:r w:rsidDel="00000000" w:rsidR="00000000" w:rsidRPr="00000000">
        <w:rPr>
          <w:rtl w:val="0"/>
        </w:rPr>
        <w:t xml:space="preserve">Strain Background</w:t>
      </w:r>
    </w:p>
    <w:p w:rsidR="00000000" w:rsidDel="00000000" w:rsidP="00000000" w:rsidRDefault="00000000" w:rsidRPr="00000000" w14:paraId="00000076">
      <w:pPr>
        <w:rPr/>
      </w:pPr>
      <w:r w:rsidDel="00000000" w:rsidR="00000000" w:rsidRPr="00000000">
        <w:rPr>
          <w:rtl w:val="0"/>
        </w:rPr>
        <w:t xml:space="preserve">Strain background can modify point mutation phenotypes: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Generate on C57BL/6 for consistency with most published literature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 strain specific modifiers for disease relevant backgrounds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 consistent background for comparisons</w:t>
      </w:r>
    </w:p>
    <w:p w:rsidR="00000000" w:rsidDel="00000000" w:rsidP="00000000" w:rsidRDefault="00000000" w:rsidRPr="00000000" w14:paraId="0000007A">
      <w:pPr>
        <w:rPr/>
      </w:pPr>
      <w:r w:rsidDel="00000000" w:rsidR="00000000" w:rsidRPr="00000000">
        <w:rPr>
          <w:rtl w:val="0"/>
        </w:rPr>
        <w:t xml:space="preserve">(/c57bl6-mouse-background)</w:t>
      </w:r>
    </w:p>
    <w:p w:rsidR="00000000" w:rsidDel="00000000" w:rsidP="00000000" w:rsidRDefault="00000000" w:rsidRPr="00000000" w14:paraId="0000007B">
      <w:pPr>
        <w:pStyle w:val="Heading3"/>
        <w:rPr/>
      </w:pPr>
      <w:r w:rsidDel="00000000" w:rsidR="00000000" w:rsidRPr="00000000">
        <w:rPr>
          <w:rtl w:val="0"/>
        </w:rPr>
        <w:t xml:space="preserve">Controls</w:t>
      </w:r>
    </w:p>
    <w:p w:rsidR="00000000" w:rsidDel="00000000" w:rsidP="00000000" w:rsidRDefault="00000000" w:rsidRPr="00000000" w14:paraId="0000007C">
      <w:pPr>
        <w:rPr/>
      </w:pPr>
      <w:r w:rsidDel="00000000" w:rsidR="00000000" w:rsidRPr="00000000">
        <w:rPr>
          <w:rtl w:val="0"/>
        </w:rPr>
        <w:t xml:space="preserve">Appropriate controls for point mutation studies: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Wildtype littermates:** Same genetic background without mutation</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Heterozygous carriers:** Intermediate genotype for dosage studies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Parallel knockouts:** Compare point mutation to complete loss of function</w:t>
      </w:r>
    </w:p>
    <w:p w:rsidR="00000000" w:rsidDel="00000000" w:rsidP="00000000" w:rsidRDefault="00000000" w:rsidRPr="00000000" w14:paraId="00000080">
      <w:pPr>
        <w:pStyle w:val="Heading2"/>
        <w:rPr/>
      </w:pPr>
      <w:r w:rsidDel="00000000" w:rsidR="00000000" w:rsidRPr="00000000">
        <w:rPr>
          <w:rtl w:val="0"/>
        </w:rPr>
        <w:t xml:space="preserve">Selected Publications</w:t>
      </w:r>
    </w:p>
    <w:p w:rsidR="00000000" w:rsidDel="00000000" w:rsidP="00000000" w:rsidRDefault="00000000" w:rsidRPr="00000000" w14:paraId="00000081">
      <w:pPr>
        <w:rPr/>
      </w:pPr>
      <w:r w:rsidDel="00000000" w:rsidR="00000000" w:rsidRPr="00000000">
        <w:rPr>
          <w:rtl w:val="0"/>
        </w:rPr>
        <w:t xml:space="preserve">Point mutation models generated by Ingenious Targeting Laboratory:</w:t>
      </w:r>
    </w:p>
    <w:p w:rsidR="00000000" w:rsidDel="00000000" w:rsidP="00000000" w:rsidRDefault="00000000" w:rsidRPr="00000000" w14:paraId="00000082">
      <w:pPr>
        <w:spacing w:after="0" w:line="276" w:lineRule="auto"/>
        <w:rPr>
          <w:rFonts w:ascii="Arial" w:cs="Arial" w:eastAsia="Arial" w:hAnsi="Arial"/>
          <w:color w:val="212121"/>
          <w:sz w:val="20"/>
          <w:szCs w:val="20"/>
          <w:highlight w:val="white"/>
        </w:rPr>
      </w:pPr>
      <w:r w:rsidDel="00000000" w:rsidR="00000000" w:rsidRPr="00000000">
        <w:rPr>
          <w:rFonts w:ascii="Arial" w:cs="Arial" w:eastAsia="Arial" w:hAnsi="Arial"/>
          <w:color w:val="212121"/>
          <w:sz w:val="20"/>
          <w:szCs w:val="20"/>
          <w:highlight w:val="white"/>
          <w:rtl w:val="0"/>
        </w:rPr>
        <w:t xml:space="preserve">Navarro HI, Daly AE, Rodriguez B, Wu S, Ngo KA, Fraser A, Schiffman A, Liu Y, Smale ST, Chia JJ, Hoffmann A. 2025. </w:t>
      </w:r>
      <w:hyperlink r:id="rId7">
        <w:r w:rsidDel="00000000" w:rsidR="00000000" w:rsidRPr="00000000">
          <w:rPr>
            <w:rFonts w:ascii="Arial" w:cs="Arial" w:eastAsia="Arial" w:hAnsi="Arial"/>
            <w:color w:val="1155cc"/>
            <w:sz w:val="20"/>
            <w:szCs w:val="20"/>
            <w:highlight w:val="white"/>
            <w:u w:val="single"/>
            <w:rtl w:val="0"/>
          </w:rPr>
          <w:t xml:space="preserve">NF-κB RelB suppresses the inflammatory gene expression programs of dendritic cells by competing with RelA for binding to target gene promoters</w:t>
        </w:r>
      </w:hyperlink>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i w:val="1"/>
          <w:iCs w:val="1"/>
          <w:color w:val="212121"/>
          <w:sz w:val="20"/>
          <w:szCs w:val="20"/>
          <w:highlight w:val="white"/>
          <w:rtl w:val="0"/>
        </w:rPr>
        <w:t xml:space="preserve">Cell Discov</w:t>
      </w:r>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b w:val="1"/>
          <w:bCs w:val="1"/>
          <w:color w:val="212121"/>
          <w:sz w:val="20"/>
          <w:szCs w:val="20"/>
          <w:highlight w:val="white"/>
          <w:rtl w:val="0"/>
        </w:rPr>
        <w:t xml:space="preserve">11</w:t>
      </w:r>
      <w:r w:rsidDel="00000000" w:rsidR="00000000" w:rsidRPr="00000000">
        <w:rPr>
          <w:rFonts w:ascii="Arial" w:cs="Arial" w:eastAsia="Arial" w:hAnsi="Arial"/>
          <w:color w:val="212121"/>
          <w:sz w:val="20"/>
          <w:szCs w:val="20"/>
          <w:highlight w:val="white"/>
          <w:rtl w:val="0"/>
        </w:rPr>
        <w:t xml:space="preserve">(1): 13.</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0" w:line="276" w:lineRule="auto"/>
        <w:rPr>
          <w:rFonts w:ascii="Arial" w:cs="Arial" w:eastAsia="Arial" w:hAnsi="Arial"/>
          <w:sz w:val="20"/>
          <w:szCs w:val="20"/>
        </w:rPr>
      </w:pPr>
      <w:r w:rsidDel="00000000" w:rsidR="00000000" w:rsidRPr="00000000">
        <w:rPr>
          <w:rFonts w:ascii="Arial" w:cs="Arial" w:eastAsia="Arial" w:hAnsi="Arial"/>
          <w:color w:val="212121"/>
          <w:sz w:val="20"/>
          <w:szCs w:val="20"/>
          <w:highlight w:val="white"/>
          <w:rtl w:val="0"/>
        </w:rPr>
        <w:t xml:space="preserve">Mohassel P, Hearn H, Rooney J, Zou Y, Johnson K, Norato G, Nalls MA, Yun P, Ogata T, Silverstein S, Sleboda DA, Roberts TJ, Rifkin DB, Bönnemann CG. 2025. </w:t>
      </w:r>
      <w:hyperlink r:id="rId8">
        <w:r w:rsidDel="00000000" w:rsidR="00000000" w:rsidRPr="00000000">
          <w:rPr>
            <w:rFonts w:ascii="Arial" w:cs="Arial" w:eastAsia="Arial" w:hAnsi="Arial"/>
            <w:color w:val="1155cc"/>
            <w:sz w:val="20"/>
            <w:szCs w:val="20"/>
            <w:highlight w:val="white"/>
            <w:u w:val="single"/>
            <w:rtl w:val="0"/>
          </w:rPr>
          <w:t xml:space="preserve">Collagen type VI regulates TGF-β bioavailability in skeletal muscle in mice</w:t>
        </w:r>
      </w:hyperlink>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i w:val="1"/>
          <w:iCs w:val="1"/>
          <w:color w:val="212121"/>
          <w:sz w:val="20"/>
          <w:szCs w:val="20"/>
          <w:highlight w:val="white"/>
          <w:rtl w:val="0"/>
        </w:rPr>
        <w:t xml:space="preserve">J Clin Invest.</w:t>
      </w:r>
      <w:r w:rsidDel="00000000" w:rsidR="00000000" w:rsidRPr="00000000">
        <w:rPr>
          <w:rFonts w:ascii="Arial" w:cs="Arial" w:eastAsia="Arial" w:hAnsi="Arial"/>
          <w:color w:val="212121"/>
          <w:sz w:val="20"/>
          <w:szCs w:val="20"/>
          <w:highlight w:val="white"/>
          <w:rtl w:val="0"/>
        </w:rPr>
        <w:t xml:space="preserve"> </w:t>
      </w:r>
      <w:r w:rsidDel="00000000" w:rsidR="00000000" w:rsidRPr="00000000">
        <w:rPr>
          <w:rFonts w:ascii="Arial" w:cs="Arial" w:eastAsia="Arial" w:hAnsi="Arial"/>
          <w:b w:val="1"/>
          <w:bCs w:val="1"/>
          <w:color w:val="212121"/>
          <w:sz w:val="20"/>
          <w:szCs w:val="20"/>
          <w:highlight w:val="white"/>
          <w:rtl w:val="0"/>
        </w:rPr>
        <w:t xml:space="preserve">9</w:t>
      </w:r>
      <w:r w:rsidDel="00000000" w:rsidR="00000000" w:rsidRPr="00000000">
        <w:rPr>
          <w:rFonts w:ascii="Arial" w:cs="Arial" w:eastAsia="Arial" w:hAnsi="Arial"/>
          <w:color w:val="212121"/>
          <w:sz w:val="20"/>
          <w:szCs w:val="20"/>
          <w:highlight w:val="white"/>
          <w:rtl w:val="0"/>
        </w:rPr>
        <w:t xml:space="preserve">(135): e173354.</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rFonts w:ascii="Arial" w:cs="Arial" w:eastAsia="Arial" w:hAnsi="Arial"/>
          <w:sz w:val="18"/>
          <w:szCs w:val="18"/>
        </w:rPr>
      </w:pPr>
      <w:r w:rsidDel="00000000" w:rsidR="00000000" w:rsidRPr="00000000">
        <w:rPr>
          <w:rFonts w:ascii="Arial" w:cs="Arial" w:eastAsia="Arial" w:hAnsi="Arial"/>
          <w:color w:val="475467"/>
          <w:sz w:val="20"/>
          <w:szCs w:val="20"/>
          <w:rtl w:val="0"/>
        </w:rPr>
        <w:t xml:space="preserve">Hockemeyer K, Sakellaropoulos T, Chen X, Ivashkiv O, Sirenko M, Zhou H, Gambi G, Battistello E, Avrampou K, Sun Z, Guillamot M, Chiriboga L, Jour G, Dolgalev I, Corrigan, K, Bhatt, Osman I, Tsirigos A, Kourtis N, Aifantis I. 2024. </w:t>
      </w:r>
      <w:hyperlink r:id="rId9">
        <w:r w:rsidDel="00000000" w:rsidR="00000000" w:rsidRPr="00000000">
          <w:rPr>
            <w:rFonts w:ascii="Arial" w:cs="Arial" w:eastAsia="Arial" w:hAnsi="Arial"/>
            <w:color w:val="008080"/>
            <w:sz w:val="20"/>
            <w:szCs w:val="20"/>
            <w:rtl w:val="0"/>
          </w:rPr>
          <w:t xml:space="preserve">The stress response regulator HSF1 modulates natural killer cell anti-tumour immunity</w:t>
        </w:r>
      </w:hyperlink>
      <w:r w:rsidDel="00000000" w:rsidR="00000000" w:rsidRPr="00000000">
        <w:rPr>
          <w:rFonts w:ascii="Arial" w:cs="Arial" w:eastAsia="Arial" w:hAnsi="Arial"/>
          <w:color w:val="475467"/>
          <w:sz w:val="20"/>
          <w:szCs w:val="20"/>
          <w:rtl w:val="0"/>
        </w:rPr>
        <w:t xml:space="preserve">. </w:t>
      </w:r>
      <w:r w:rsidDel="00000000" w:rsidR="00000000" w:rsidRPr="00000000">
        <w:rPr>
          <w:rFonts w:ascii="Arial" w:cs="Arial" w:eastAsia="Arial" w:hAnsi="Arial"/>
          <w:i w:val="1"/>
          <w:iCs w:val="1"/>
          <w:color w:val="475467"/>
          <w:sz w:val="20"/>
          <w:szCs w:val="20"/>
          <w:rtl w:val="0"/>
        </w:rPr>
        <w:t xml:space="preserve">Nat Cell Bio </w:t>
      </w:r>
      <w:r w:rsidDel="00000000" w:rsidR="00000000" w:rsidRPr="00000000">
        <w:rPr>
          <w:rFonts w:ascii="Arial" w:cs="Arial" w:eastAsia="Arial" w:hAnsi="Arial"/>
          <w:b w:val="1"/>
          <w:bCs w:val="1"/>
          <w:color w:val="475467"/>
          <w:sz w:val="20"/>
          <w:szCs w:val="20"/>
          <w:rtl w:val="0"/>
        </w:rPr>
        <w:t xml:space="preserve">26</w:t>
      </w:r>
      <w:r w:rsidDel="00000000" w:rsidR="00000000" w:rsidRPr="00000000">
        <w:rPr>
          <w:rFonts w:ascii="Arial" w:cs="Arial" w:eastAsia="Arial" w:hAnsi="Arial"/>
          <w:color w:val="475467"/>
          <w:sz w:val="20"/>
          <w:szCs w:val="20"/>
          <w:rtl w:val="0"/>
        </w:rPr>
        <w:t xml:space="preserve">(10): 1734-1744.</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(/publications)</w:t>
      </w:r>
    </w:p>
    <w:p w:rsidR="00000000" w:rsidDel="00000000" w:rsidP="00000000" w:rsidRDefault="00000000" w:rsidRPr="00000000" w14:paraId="00000088">
      <w:pPr>
        <w:pStyle w:val="Heading2"/>
        <w:rPr/>
      </w:pPr>
      <w:r w:rsidDel="00000000" w:rsidR="00000000" w:rsidRPr="00000000">
        <w:rPr>
          <w:rtl w:val="0"/>
        </w:rPr>
        <w:t xml:space="preserve">What Researchers Say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and performed to the highest possible standards."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8C">
      <w:pPr>
        <w:rPr/>
      </w:pPr>
      <w:r w:rsidDel="00000000" w:rsidR="00000000" w:rsidRPr="00000000">
        <w:rPr>
          <w:rtl w:val="0"/>
        </w:rPr>
        <w:t xml:space="preserve">(/testimonials)</w:t>
      </w:r>
    </w:p>
    <w:p w:rsidR="00000000" w:rsidDel="00000000" w:rsidP="00000000" w:rsidRDefault="00000000" w:rsidRPr="00000000" w14:paraId="0000008D">
      <w:pPr>
        <w:pStyle w:val="Heading2"/>
        <w:rPr/>
      </w:pPr>
      <w:r w:rsidDel="00000000" w:rsidR="00000000" w:rsidRPr="00000000">
        <w:rPr>
          <w:rtl w:val="0"/>
        </w:rPr>
        <w:t xml:space="preserve">Related Model Types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(/humanized-mouse-models)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(/knockin-mouse-models)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(/reporter-knockin)</w:t>
      </w:r>
    </w:p>
    <w:p w:rsidR="00000000" w:rsidDel="00000000" w:rsidP="00000000" w:rsidRDefault="00000000" w:rsidRPr="00000000" w14:paraId="00000092">
      <w:pPr>
        <w:pStyle w:val="Heading2"/>
        <w:rPr/>
      </w:pPr>
      <w:r w:rsidDel="00000000" w:rsidR="00000000" w:rsidRPr="00000000">
        <w:rPr>
          <w:rtl w:val="0"/>
        </w:rPr>
        <w:t xml:space="preserve">Disease Model Applications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(/alzheimers-mouse-models)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(/oncology-mouse-models)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(/rare-disease-mouse-models)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(/neuroscience-mouse-models)</w:t>
      </w:r>
    </w:p>
    <w:p w:rsidR="00000000" w:rsidDel="00000000" w:rsidP="00000000" w:rsidRDefault="00000000" w:rsidRPr="00000000" w14:paraId="00000097">
      <w:pPr>
        <w:pStyle w:val="Heading2"/>
        <w:rPr/>
      </w:pPr>
      <w:r w:rsidDel="00000000" w:rsidR="00000000" w:rsidRPr="00000000">
        <w:rPr>
          <w:rtl w:val="0"/>
        </w:rPr>
        <w:t xml:space="preserve">Related Technologies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(/es-cell-gene-targeting)</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(/cre-lox-system)</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(/derivative-alleles)</w:t>
      </w:r>
    </w:p>
    <w:p w:rsidR="00000000" w:rsidDel="00000000" w:rsidP="00000000" w:rsidRDefault="00000000" w:rsidRPr="00000000" w14:paraId="0000009B">
      <w:pPr>
        <w:pStyle w:val="Heading2"/>
        <w:rPr/>
      </w:pPr>
      <w:r w:rsidDel="00000000" w:rsidR="00000000" w:rsidRPr="00000000">
        <w:rPr>
          <w:rtl w:val="0"/>
        </w:rPr>
        <w:t xml:space="preserve">Project Resources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(/model-generation-timeline)</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(/strain-selection-guide)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9F">
      <w:pPr>
        <w:pStyle w:val="Heading2"/>
        <w:rPr/>
      </w:pPr>
      <w:r w:rsidDel="00000000" w:rsidR="00000000" w:rsidRPr="00000000">
        <w:rPr>
          <w:rtl w:val="0"/>
        </w:rPr>
        <w:t xml:space="preserve">Start Your Point Mutation Project</w:t>
      </w:r>
    </w:p>
    <w:p w:rsidR="00000000" w:rsidDel="00000000" w:rsidP="00000000" w:rsidRDefault="00000000" w:rsidRPr="00000000" w14:paraId="000000A0">
      <w:pPr>
        <w:rPr/>
      </w:pPr>
      <w:r w:rsidDel="00000000" w:rsidR="00000000" w:rsidRPr="00000000">
        <w:rPr>
          <w:rtl w:val="0"/>
        </w:rPr>
        <w:t xml:space="preserve">Our scientific consultants are ready to discuss your point mutation requirements and optimal allele design for your research goals. Initial consultation is provided at no charge and includes mutation strategy, allele design options, timeline and price estimate.</w:t>
      </w:r>
    </w:p>
    <w:p w:rsidR="00000000" w:rsidDel="00000000" w:rsidP="00000000" w:rsidRDefault="00000000" w:rsidRPr="00000000" w14:paraId="000000A1">
      <w:pPr>
        <w:pStyle w:val="Heading2"/>
        <w:rPr/>
      </w:pPr>
      <w:r w:rsidDel="00000000" w:rsidR="00000000" w:rsidRPr="00000000">
        <w:rPr>
          <w:rtl w:val="0"/>
        </w:rPr>
        <w:t xml:space="preserve">Frequently Asked Questions</w:t>
      </w:r>
    </w:p>
    <w:p w:rsidR="00000000" w:rsidDel="00000000" w:rsidP="00000000" w:rsidRDefault="00000000" w:rsidRPr="00000000" w14:paraId="000000A2">
      <w:pPr>
        <w:rPr/>
      </w:pPr>
      <w:r w:rsidDel="00000000" w:rsidR="00000000" w:rsidRPr="00000000">
        <w:rPr>
          <w:b w:val="1"/>
          <w:bCs w:val="1"/>
          <w:rtl w:val="0"/>
        </w:rPr>
        <w:t xml:space="preserve">Can point mutations be introduced without disrupting normal gene expression?</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Yes. Point mutation knockins change specific nucleotides while preserving all other gene sequences. </w:t>
      </w:r>
    </w:p>
    <w:p w:rsidR="00000000" w:rsidDel="00000000" w:rsidP="00000000" w:rsidRDefault="00000000" w:rsidRPr="00000000" w14:paraId="000000A4">
      <w:pPr>
        <w:rPr/>
      </w:pPr>
      <w:r w:rsidDel="00000000" w:rsidR="00000000" w:rsidRPr="00000000">
        <w:rPr>
          <w:b w:val="1"/>
          <w:bCs w:val="1"/>
          <w:rtl w:val="0"/>
        </w:rPr>
        <w:t xml:space="preserve">What types of point mutations can be modeled?</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Any single or multiple nucleotide change can be modeled, including disease-associated variants, catalytic site mutations (kinase dead, protease dead), phosphorylation site mutations, and regulatory element mutations. Point mutations enable precise study of how specific amino acid changes affect protein function and disease phenotypes.</w:t>
      </w:r>
    </w:p>
    <w:p w:rsidR="00000000" w:rsidDel="00000000" w:rsidP="00000000" w:rsidRDefault="00000000" w:rsidRPr="00000000" w14:paraId="000000A6">
      <w:pPr>
        <w:rPr/>
      </w:pPr>
      <w:r w:rsidDel="00000000" w:rsidR="00000000" w:rsidRPr="00000000">
        <w:rPr>
          <w:b w:val="1"/>
          <w:bCs w:val="1"/>
          <w:rtl w:val="0"/>
        </w:rPr>
        <w:t xml:space="preserve">Can point mutations be made conditional?</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Yes. Point mutations can be designed as conditional alleles using loxP-flanked wildtype exons. Cre-mediated recombination converts wildtype to mutant sequence, enabling temporal or tissue-specific control over mutation expression. This is valuable for modeling mutations that would be lethal if expressed globally from conception.</w:t>
      </w:r>
    </w:p>
    <w:p w:rsidR="00000000" w:rsidDel="00000000" w:rsidP="00000000" w:rsidRDefault="00000000" w:rsidRPr="00000000" w14:paraId="000000A8">
      <w:pPr>
        <w:rPr/>
      </w:pPr>
      <w:r w:rsidDel="00000000" w:rsidR="00000000" w:rsidRPr="00000000">
        <w:rPr>
          <w:b w:val="1"/>
          <w:bCs w:val="1"/>
          <w:rtl w:val="0"/>
        </w:rPr>
        <w:t xml:space="preserve">What is the difference between homozygous and heterozygous point mutation models?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Heterozygous models are used for dominant mutations or haploinsufficiency studies. Homozygous models are required for recessive mutations. Some mutations show dose-dependent effects where heterozygotes show partial phenotypes and homozygotes show more severe or lethal phenotypes. Genetic analysis determines whether heterozygotes or homozygotes are appropriate.</w:t>
      </w:r>
    </w:p>
    <w:p w:rsidR="00000000" w:rsidDel="00000000" w:rsidP="00000000" w:rsidRDefault="00000000" w:rsidRPr="00000000" w14:paraId="000000AA">
      <w:pPr>
        <w:rPr/>
      </w:pPr>
      <w:r w:rsidDel="00000000" w:rsidR="00000000" w:rsidRPr="00000000">
        <w:rPr>
          <w:rtl w:val="0"/>
        </w:rPr>
        <w:t xml:space="preserve">(/request-quote)</w:t>
      </w:r>
    </w:p>
    <w:p w:rsidR="00000000" w:rsidDel="00000000" w:rsidP="00000000" w:rsidRDefault="00000000" w:rsidRPr="00000000" w14:paraId="000000AB">
      <w:pPr>
        <w:rPr/>
      </w:pPr>
      <w:r w:rsidDel="00000000" w:rsidR="00000000" w:rsidRPr="00000000">
        <w:rPr>
          <w:rtl w:val="0"/>
        </w:rPr>
        <w:t xml:space="preserve">(/request-quote)</w:t>
      </w:r>
    </w:p>
    <w:p w:rsidR="00000000" w:rsidDel="00000000" w:rsidP="00000000" w:rsidRDefault="00000000" w:rsidRPr="00000000" w14:paraId="000000AC">
      <w:pPr>
        <w:pStyle w:val="Heading2"/>
        <w:rPr/>
      </w:pPr>
      <w:r w:rsidDel="00000000" w:rsidR="00000000" w:rsidRPr="00000000">
        <w:rPr>
          <w:rtl w:val="0"/>
        </w:rPr>
        <w:t xml:space="preserve">Quality Confirmation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"point mutation mouse" in H1 and first paragraph</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 (SNP knockin, disease mutation)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hundreds of models, 800+ publications)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 (no procedural methodology)</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Scientific content with point mutation depth</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testimonials with full attribution</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publications with citations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internal links with keyword anchor text</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hyphens in copy</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prohibited terms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"ITL" abbreviation used</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Phosphorylation site mutation table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Common disease mutations table</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Types of point mutations explained</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Selection cassette removal explained</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cell framed as pre germline characterization advantage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~1,900 (appropriate for model type page)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3922337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pubmed.ncbi.nlm.nih.gov/39929805/" TargetMode="External"/><Relationship Id="rId8" Type="http://schemas.openxmlformats.org/officeDocument/2006/relationships/hyperlink" Target="https://pubmed.ncbi.nlm.nih.gov/4030977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8HOo/0Pr1vA3Gpa6pKgsbvNqKQ==">CgMxLjA4AHIhMVVSUFRhdEpGN19LMm1zZzY4VnpfRGJVRFBlNzRiNXI5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