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Resources and Guides | Mouse Model Selection, Timeline, Case Studies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/resources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Mouse model selection guides, case studies, FAQs, and technical resources. Expert guidance for knockout, knockin, and humanized model projects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mouse model resources</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knockout strategy guide, mouse model timeline, case studies, project FAQs, model selection</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1600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Mouse Model Resources</w:t>
      </w:r>
    </w:p>
    <w:p w:rsidR="00000000" w:rsidDel="00000000" w:rsidP="00000000" w:rsidRDefault="00000000" w:rsidRPr="00000000" w14:paraId="0000000A">
      <w:pPr>
        <w:rPr/>
      </w:pPr>
      <w:r w:rsidDel="00000000" w:rsidR="00000000" w:rsidRPr="00000000">
        <w:rPr>
          <w:rtl w:val="0"/>
        </w:rPr>
        <w:t xml:space="preserve">Ingenious Targeting Laboratory provides comprehensive resources to help researchers design, implement, and optimize custom mouse model projects. From selection guides that clarify strategic decisions to case studies demonstrating successful project outcomes, these resources draw on our experience from more than 2,500 projects completed since 1998.</w:t>
      </w:r>
    </w:p>
    <w:p w:rsidR="00000000" w:rsidDel="00000000" w:rsidP="00000000" w:rsidRDefault="00000000" w:rsidRPr="00000000" w14:paraId="0000000B">
      <w:pPr>
        <w:pStyle w:val="Heading2"/>
        <w:rPr/>
      </w:pPr>
      <w:r w:rsidDel="00000000" w:rsidR="00000000" w:rsidRPr="00000000">
        <w:rPr>
          <w:rtl w:val="0"/>
        </w:rPr>
        <w:t xml:space="preserve">Selection Guides</w:t>
      </w:r>
    </w:p>
    <w:p w:rsidR="00000000" w:rsidDel="00000000" w:rsidP="00000000" w:rsidRDefault="00000000" w:rsidRPr="00000000" w14:paraId="0000000C">
      <w:pPr>
        <w:pStyle w:val="Heading3"/>
        <w:rPr/>
      </w:pPr>
      <w:r w:rsidDel="00000000" w:rsidR="00000000" w:rsidRPr="00000000">
        <w:rPr>
          <w:rtl w:val="0"/>
        </w:rPr>
        <w:t xml:space="preserve">Strategy Guides</w:t>
      </w:r>
    </w:p>
    <w:p w:rsidR="00000000" w:rsidDel="00000000" w:rsidP="00000000" w:rsidRDefault="00000000" w:rsidRPr="00000000" w14:paraId="0000000D">
      <w:pPr>
        <w:rPr/>
      </w:pPr>
      <w:r w:rsidDel="00000000" w:rsidR="00000000" w:rsidRPr="00000000">
        <w:rPr>
          <w:rtl w:val="0"/>
        </w:rPr>
        <w:t xml:space="preserve">Making the right design decisions early in your project maximizes research value and minimizes timeline. These guides help you navigate key strategic choices:</w:t>
      </w:r>
    </w:p>
    <w:p w:rsidR="00000000" w:rsidDel="00000000" w:rsidP="00000000" w:rsidRDefault="00000000" w:rsidRPr="00000000" w14:paraId="0000000E">
      <w:pPr>
        <w:rPr/>
      </w:pPr>
      <w:r w:rsidDel="00000000" w:rsidR="00000000" w:rsidRPr="00000000">
        <w:rPr>
          <w:b w:val="1"/>
          <w:bCs w:val="1"/>
          <w:rtl w:val="0"/>
        </w:rPr>
        <w:t xml:space="preserve">(/knockout-strategy-guide)</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Compare global knockout, conditional knockout, and knockout first approaches. Understand when each strategy provides optimal research outcomes and how to match your approach to specific research questions.</w:t>
      </w:r>
    </w:p>
    <w:p w:rsidR="00000000" w:rsidDel="00000000" w:rsidP="00000000" w:rsidRDefault="00000000" w:rsidRPr="00000000" w14:paraId="00000010">
      <w:pPr>
        <w:rPr/>
      </w:pPr>
      <w:r w:rsidDel="00000000" w:rsidR="00000000" w:rsidRPr="00000000">
        <w:rPr>
          <w:b w:val="1"/>
          <w:bCs w:val="1"/>
          <w:rtl w:val="0"/>
        </w:rPr>
        <w:t xml:space="preserve">(/conditional-vs-conventional-guide)</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Detailed comparison of conditional and conventional knockout strategies including timeline considerations, cost factors, and flexibility for future research applications.</w:t>
      </w:r>
    </w:p>
    <w:p w:rsidR="00000000" w:rsidDel="00000000" w:rsidP="00000000" w:rsidRDefault="00000000" w:rsidRPr="00000000" w14:paraId="00000012">
      <w:pPr>
        <w:rPr/>
      </w:pPr>
      <w:r w:rsidDel="00000000" w:rsidR="00000000" w:rsidRPr="00000000">
        <w:rPr>
          <w:b w:val="1"/>
          <w:bCs w:val="1"/>
          <w:rtl w:val="0"/>
        </w:rPr>
        <w:t xml:space="preserve">(/humanization-strategy-guide)</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Navigate decisions about gene replacement, receptor humanization, and immune checkpoint humanization. Understand technical considerations and research application implications.</w:t>
      </w:r>
    </w:p>
    <w:p w:rsidR="00000000" w:rsidDel="00000000" w:rsidP="00000000" w:rsidRDefault="00000000" w:rsidRPr="00000000" w14:paraId="00000014">
      <w:pPr>
        <w:rPr/>
      </w:pPr>
      <w:r w:rsidDel="00000000" w:rsidR="00000000" w:rsidRPr="00000000">
        <w:rPr>
          <w:b w:val="1"/>
          <w:bCs w:val="1"/>
          <w:rtl w:val="0"/>
        </w:rPr>
        <w:t xml:space="preserve">(/reporter-selection-guide)</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Compare fluorescent proteins, enzymatic reporters, and bioluminescent systems. Match reporter characteristics to your imaging modality and research requirements.</w:t>
      </w:r>
    </w:p>
    <w:p w:rsidR="00000000" w:rsidDel="00000000" w:rsidP="00000000" w:rsidRDefault="00000000" w:rsidRPr="00000000" w14:paraId="00000016">
      <w:pPr>
        <w:rPr/>
      </w:pPr>
      <w:r w:rsidDel="00000000" w:rsidR="00000000" w:rsidRPr="00000000">
        <w:rPr>
          <w:b w:val="1"/>
          <w:bCs w:val="1"/>
          <w:rtl w:val="0"/>
        </w:rPr>
        <w:t xml:space="preserve">(/cre-line-selection-guide)</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Identify appropriate Cre driver lines for tissue specific gene deletion. Understand recombination efficiency, specificity considerations, and available resources.</w:t>
      </w:r>
    </w:p>
    <w:p w:rsidR="00000000" w:rsidDel="00000000" w:rsidP="00000000" w:rsidRDefault="00000000" w:rsidRPr="00000000" w14:paraId="00000018">
      <w:pPr>
        <w:pStyle w:val="Heading3"/>
        <w:rPr/>
      </w:pPr>
      <w:r w:rsidDel="00000000" w:rsidR="00000000" w:rsidRPr="00000000">
        <w:rPr>
          <w:rtl w:val="0"/>
        </w:rPr>
        <w:t xml:space="preserve">Planning Guides</w:t>
      </w:r>
    </w:p>
    <w:p w:rsidR="00000000" w:rsidDel="00000000" w:rsidP="00000000" w:rsidRDefault="00000000" w:rsidRPr="00000000" w14:paraId="00000019">
      <w:pPr>
        <w:rPr/>
      </w:pPr>
      <w:r w:rsidDel="00000000" w:rsidR="00000000" w:rsidRPr="00000000">
        <w:rPr>
          <w:b w:val="1"/>
          <w:bCs w:val="1"/>
          <w:rtl w:val="0"/>
        </w:rPr>
        <w:t xml:space="preserve">(/model-generation-timeline)</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Detailed breakdown of project phases from targeting vector construction through germline transmission. Understand what determines timeline and options for acceleration.</w:t>
      </w:r>
    </w:p>
    <w:p w:rsidR="00000000" w:rsidDel="00000000" w:rsidP="00000000" w:rsidRDefault="00000000" w:rsidRPr="00000000" w14:paraId="0000001B">
      <w:pPr>
        <w:rPr/>
      </w:pPr>
      <w:r w:rsidDel="00000000" w:rsidR="00000000" w:rsidRPr="00000000">
        <w:rPr>
          <w:b w:val="1"/>
          <w:bCs w:val="1"/>
          <w:rtl w:val="0"/>
        </w:rPr>
        <w:t xml:space="preserve">(/mouse-model-budgeting-guide)</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Comprehensive guide to project costs including targeting vector, ES cell targeting, microinjection, breeding, and ongoing colony maintenance considerations.</w:t>
      </w:r>
    </w:p>
    <w:p w:rsidR="00000000" w:rsidDel="00000000" w:rsidP="00000000" w:rsidRDefault="00000000" w:rsidRPr="00000000" w14:paraId="0000001D">
      <w:pPr>
        <w:rPr/>
      </w:pPr>
      <w:r w:rsidDel="00000000" w:rsidR="00000000" w:rsidRPr="00000000">
        <w:rPr>
          <w:b w:val="1"/>
          <w:bCs w:val="1"/>
          <w:rtl w:val="0"/>
        </w:rPr>
        <w:t xml:space="preserve">(/bench-to-breeding-guide)</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End to end overview of the mouse model generation process including decision points, deliverables, and what to expect at each project phase.</w:t>
      </w:r>
    </w:p>
    <w:p w:rsidR="00000000" w:rsidDel="00000000" w:rsidP="00000000" w:rsidRDefault="00000000" w:rsidRPr="00000000" w14:paraId="0000001F">
      <w:pPr>
        <w:pStyle w:val="Heading2"/>
        <w:rPr/>
      </w:pPr>
      <w:r w:rsidDel="00000000" w:rsidR="00000000" w:rsidRPr="00000000">
        <w:rPr>
          <w:rtl w:val="0"/>
        </w:rPr>
        <w:t xml:space="preserve">Case Studies</w:t>
      </w:r>
    </w:p>
    <w:p w:rsidR="00000000" w:rsidDel="00000000" w:rsidP="00000000" w:rsidRDefault="00000000" w:rsidRPr="00000000" w14:paraId="00000020">
      <w:pPr>
        <w:rPr/>
      </w:pPr>
      <w:r w:rsidDel="00000000" w:rsidR="00000000" w:rsidRPr="00000000">
        <w:rPr>
          <w:rtl w:val="0"/>
        </w:rPr>
        <w:t xml:space="preserve">Real project examples demonstrate how Ingenious Targeting Laboratory approaches complex targeting challenges and delivers research ready mouse models:</w:t>
      </w:r>
    </w:p>
    <w:p w:rsidR="00000000" w:rsidDel="00000000" w:rsidP="00000000" w:rsidRDefault="00000000" w:rsidRPr="00000000" w14:paraId="00000021">
      <w:pPr>
        <w:rPr/>
      </w:pPr>
      <w:r w:rsidDel="00000000" w:rsidR="00000000" w:rsidRPr="00000000">
        <w:rPr>
          <w:b w:val="1"/>
          <w:bCs w:val="1"/>
          <w:rtl w:val="0"/>
        </w:rPr>
        <w:t xml:space="preserve">(/case-studies/embryonic-lethal-conditional)</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How conditional allele design enabled study of a gene essential for embryonic development without disrupting normal development.</w:t>
      </w:r>
    </w:p>
    <w:p w:rsidR="00000000" w:rsidDel="00000000" w:rsidP="00000000" w:rsidRDefault="00000000" w:rsidRPr="00000000" w14:paraId="00000023">
      <w:pPr>
        <w:rPr/>
      </w:pPr>
      <w:r w:rsidDel="00000000" w:rsidR="00000000" w:rsidRPr="00000000">
        <w:rPr>
          <w:b w:val="1"/>
          <w:bCs w:val="1"/>
          <w:rtl w:val="0"/>
        </w:rPr>
        <w:t xml:space="preserve">(/case-studies/immune-checkpoint-humanization)</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PD1 humanization project enabling preclinical testing of checkpoint inhibitor therapeutics.</w:t>
      </w:r>
    </w:p>
    <w:p w:rsidR="00000000" w:rsidDel="00000000" w:rsidP="00000000" w:rsidRDefault="00000000" w:rsidRPr="00000000" w14:paraId="00000025">
      <w:pPr>
        <w:rPr/>
      </w:pPr>
      <w:r w:rsidDel="00000000" w:rsidR="00000000" w:rsidRPr="00000000">
        <w:rPr>
          <w:b w:val="1"/>
          <w:bCs w:val="1"/>
          <w:rtl w:val="0"/>
        </w:rPr>
        <w:t xml:space="preserve">(/case-studies/lineage-tracing-reporter)</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tdTomato reporter knockin enabling fate mapping of a rare cell population in metabolic disease research.</w:t>
      </w:r>
    </w:p>
    <w:p w:rsidR="00000000" w:rsidDel="00000000" w:rsidP="00000000" w:rsidRDefault="00000000" w:rsidRPr="00000000" w14:paraId="00000027">
      <w:pPr>
        <w:rPr/>
      </w:pPr>
      <w:r w:rsidDel="00000000" w:rsidR="00000000" w:rsidRPr="00000000">
        <w:rPr>
          <w:b w:val="1"/>
          <w:bCs w:val="1"/>
          <w:rtl w:val="0"/>
        </w:rPr>
        <w:t xml:space="preserve">(/case-studies/bac-integration)</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Complex targeting project integrating human genomic region for humanization of a multi gene cluster.</w:t>
      </w:r>
    </w:p>
    <w:p w:rsidR="00000000" w:rsidDel="00000000" w:rsidP="00000000" w:rsidRDefault="00000000" w:rsidRPr="00000000" w14:paraId="00000029">
      <w:pPr>
        <w:rPr/>
      </w:pPr>
      <w:r w:rsidDel="00000000" w:rsidR="00000000" w:rsidRPr="00000000">
        <w:rPr>
          <w:rtl w:val="0"/>
        </w:rPr>
        <w:t xml:space="preserve">(/case-studies)</w:t>
      </w:r>
    </w:p>
    <w:p w:rsidR="00000000" w:rsidDel="00000000" w:rsidP="00000000" w:rsidRDefault="00000000" w:rsidRPr="00000000" w14:paraId="0000002A">
      <w:pPr>
        <w:pStyle w:val="Heading2"/>
        <w:rPr/>
      </w:pPr>
      <w:r w:rsidDel="00000000" w:rsidR="00000000" w:rsidRPr="00000000">
        <w:rPr>
          <w:rtl w:val="0"/>
        </w:rPr>
        <w:t xml:space="preserve">Technical Resources</w:t>
      </w:r>
    </w:p>
    <w:p w:rsidR="00000000" w:rsidDel="00000000" w:rsidP="00000000" w:rsidRDefault="00000000" w:rsidRPr="00000000" w14:paraId="0000002B">
      <w:pPr>
        <w:pStyle w:val="Heading3"/>
        <w:rPr/>
      </w:pPr>
      <w:r w:rsidDel="00000000" w:rsidR="00000000" w:rsidRPr="00000000">
        <w:rPr>
          <w:rtl w:val="0"/>
        </w:rPr>
        <w:t xml:space="preserve">Technology Documentation</w:t>
      </w:r>
    </w:p>
    <w:p w:rsidR="00000000" w:rsidDel="00000000" w:rsidP="00000000" w:rsidRDefault="00000000" w:rsidRPr="00000000" w14:paraId="0000002C">
      <w:pPr>
        <w:rPr/>
      </w:pPr>
      <w:r w:rsidDel="00000000" w:rsidR="00000000" w:rsidRPr="00000000">
        <w:rPr>
          <w:rtl w:val="0"/>
        </w:rPr>
        <w:t xml:space="preserve">Detailed technical information about Ingenious Targeting Laboratory's gene targeting approaches: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(/es-cell-gene-targeting)</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(/cre-lox-system)</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(/derivative-alleles)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(/selection-cassette-design)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(/safe-harbor-locus)</w:t>
      </w:r>
    </w:p>
    <w:p w:rsidR="00000000" w:rsidDel="00000000" w:rsidP="00000000" w:rsidRDefault="00000000" w:rsidRPr="00000000" w14:paraId="00000032">
      <w:pPr>
        <w:pStyle w:val="Heading3"/>
        <w:rPr/>
      </w:pPr>
      <w:r w:rsidDel="00000000" w:rsidR="00000000" w:rsidRPr="00000000">
        <w:rPr>
          <w:rtl w:val="0"/>
        </w:rPr>
        <w:t xml:space="preserve">Strain Background Information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(/c57bl6-mouse-background)</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(/strain-selection-guide)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(/backcrossing-services)</w:t>
      </w:r>
    </w:p>
    <w:p w:rsidR="00000000" w:rsidDel="00000000" w:rsidP="00000000" w:rsidRDefault="00000000" w:rsidRPr="00000000" w14:paraId="00000036">
      <w:pPr>
        <w:pStyle w:val="Heading2"/>
        <w:rPr/>
      </w:pPr>
      <w:r w:rsidDel="00000000" w:rsidR="00000000" w:rsidRPr="00000000">
        <w:rPr>
          <w:rtl w:val="0"/>
        </w:rPr>
        <w:t xml:space="preserve">Publications</w:t>
      </w:r>
    </w:p>
    <w:p w:rsidR="00000000" w:rsidDel="00000000" w:rsidP="00000000" w:rsidRDefault="00000000" w:rsidRPr="00000000" w14:paraId="00000037">
      <w:pPr>
        <w:rPr/>
      </w:pPr>
      <w:r w:rsidDel="00000000" w:rsidR="00000000" w:rsidRPr="00000000">
        <w:rPr>
          <w:rtl w:val="0"/>
        </w:rPr>
        <w:t xml:space="preserve">Ingenious Targeting Laboratory generated mouse models have contributed to more than 800 peer reviewed publications across all major therapeutic areas and journals including Nature, Cell, Science, and specialty publications.</w:t>
      </w:r>
    </w:p>
    <w:p w:rsidR="00000000" w:rsidDel="00000000" w:rsidP="00000000" w:rsidRDefault="00000000" w:rsidRPr="00000000" w14:paraId="00000038">
      <w:pPr>
        <w:rPr/>
      </w:pPr>
      <w:r w:rsidDel="00000000" w:rsidR="00000000" w:rsidRPr="00000000">
        <w:rPr>
          <w:rtl w:val="0"/>
        </w:rPr>
        <w:t xml:space="preserve">Our publications database includes: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Searchable archive by therapeutic area</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Publications organized by model type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Recent high impact publications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citation information</w:t>
      </w:r>
    </w:p>
    <w:p w:rsidR="00000000" w:rsidDel="00000000" w:rsidP="00000000" w:rsidRDefault="00000000" w:rsidRPr="00000000" w14:paraId="0000003D">
      <w:pPr>
        <w:rPr/>
      </w:pPr>
      <w:r w:rsidDel="00000000" w:rsidR="00000000" w:rsidRPr="00000000">
        <w:rPr>
          <w:rtl w:val="0"/>
        </w:rPr>
        <w:t xml:space="preserve">(/publications)</w:t>
      </w:r>
    </w:p>
    <w:p w:rsidR="00000000" w:rsidDel="00000000" w:rsidP="00000000" w:rsidRDefault="00000000" w:rsidRPr="00000000" w14:paraId="0000003E">
      <w:pPr>
        <w:pStyle w:val="Heading2"/>
        <w:rPr/>
      </w:pPr>
      <w:r w:rsidDel="00000000" w:rsidR="00000000" w:rsidRPr="00000000">
        <w:rPr>
          <w:rtl w:val="0"/>
        </w:rPr>
        <w:t xml:space="preserve">What Researchers Say</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Hephaestin flox model made by Ingenious is now the basis for eight research publications from multiple research groups in three countries."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**Joshua Dunaief, MD, PhD**, University of Pennsylvania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quality of service was exceptional. The team at Ingenious consistently met the highest possible standards in every aspect of our project."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**Albert Basson, PhD**, King's College London</w:t>
      </w:r>
    </w:p>
    <w:p w:rsidR="00000000" w:rsidDel="00000000" w:rsidP="00000000" w:rsidRDefault="00000000" w:rsidRPr="00000000" w14:paraId="00000045">
      <w:pPr>
        <w:rPr/>
      </w:pPr>
      <w:r w:rsidDel="00000000" w:rsidR="00000000" w:rsidRPr="00000000">
        <w:rPr>
          <w:rtl w:val="0"/>
        </w:rPr>
        <w:t xml:space="preserve">(/testimonials)</w:t>
      </w:r>
    </w:p>
    <w:p w:rsidR="00000000" w:rsidDel="00000000" w:rsidP="00000000" w:rsidRDefault="00000000" w:rsidRPr="00000000" w14:paraId="00000046">
      <w:pPr>
        <w:pStyle w:val="Heading2"/>
        <w:rPr/>
      </w:pPr>
      <w:r w:rsidDel="00000000" w:rsidR="00000000" w:rsidRPr="00000000">
        <w:rPr>
          <w:rtl w:val="0"/>
        </w:rPr>
        <w:t xml:space="preserve">Frequently Asked Questions</w:t>
      </w:r>
    </w:p>
    <w:p w:rsidR="00000000" w:rsidDel="00000000" w:rsidP="00000000" w:rsidRDefault="00000000" w:rsidRPr="00000000" w14:paraId="00000047">
      <w:pPr>
        <w:pStyle w:val="Heading3"/>
        <w:rPr/>
      </w:pPr>
      <w:r w:rsidDel="00000000" w:rsidR="00000000" w:rsidRPr="00000000">
        <w:rPr>
          <w:rtl w:val="0"/>
        </w:rPr>
        <w:t xml:space="preserve">Project Questions</w:t>
      </w: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What is included in a complete project?</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Complete projects include targeting vector design and construction, ES cell targeting and characterization, blastocyst injection, chimera generation, and germline transmission confirmation. Colony expansion and cohort development are available as additional services.</w:t>
      </w:r>
    </w:p>
    <w:p w:rsidR="00000000" w:rsidDel="00000000" w:rsidP="00000000" w:rsidRDefault="00000000" w:rsidRPr="00000000" w14:paraId="0000004A">
      <w:pPr>
        <w:rPr/>
      </w:pPr>
      <w:r w:rsidDel="00000000" w:rsidR="00000000" w:rsidRPr="00000000">
        <w:rPr>
          <w:b w:val="1"/>
          <w:bCs w:val="1"/>
          <w:rtl w:val="0"/>
        </w:rPr>
        <w:t xml:space="preserve">Can you work with my existing targeting vector or ES cells?</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Yes, Ingenious Targeting Laboratory offers partial services including ES cell targeting with client provided vectors, microinjection of client provided ES cells, and project completion from various starting points.</w:t>
      </w:r>
    </w:p>
    <w:p w:rsidR="00000000" w:rsidDel="00000000" w:rsidP="00000000" w:rsidRDefault="00000000" w:rsidRPr="00000000" w14:paraId="0000004C">
      <w:pPr>
        <w:rPr/>
      </w:pPr>
      <w:r w:rsidDel="00000000" w:rsidR="00000000" w:rsidRPr="00000000">
        <w:rPr>
          <w:rtl w:val="0"/>
        </w:rPr>
        <w:t xml:space="preserve">(/faqs)</w:t>
      </w:r>
    </w:p>
    <w:p w:rsidR="00000000" w:rsidDel="00000000" w:rsidP="00000000" w:rsidRDefault="00000000" w:rsidRPr="00000000" w14:paraId="0000004D">
      <w:pPr>
        <w:pStyle w:val="Heading2"/>
        <w:rPr/>
      </w:pPr>
      <w:r w:rsidDel="00000000" w:rsidR="00000000" w:rsidRPr="00000000">
        <w:rPr>
          <w:rtl w:val="0"/>
        </w:rPr>
        <w:t xml:space="preserve">Video Library</w:t>
      </w:r>
    </w:p>
    <w:p w:rsidR="00000000" w:rsidDel="00000000" w:rsidP="00000000" w:rsidRDefault="00000000" w:rsidRPr="00000000" w14:paraId="0000004E">
      <w:pPr>
        <w:rPr/>
      </w:pPr>
      <w:r w:rsidDel="00000000" w:rsidR="00000000" w:rsidRPr="00000000">
        <w:rPr>
          <w:rtl w:val="0"/>
        </w:rPr>
        <w:t xml:space="preserve">Educational videos covering gene targeting concepts, project workflows, and technical approaches: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Understanding Conditional Knockouts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Derivative Allele System Explained</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Cell Targeting Process Overview</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Planning Webinar Series</w:t>
      </w:r>
    </w:p>
    <w:p w:rsidR="00000000" w:rsidDel="00000000" w:rsidP="00000000" w:rsidRDefault="00000000" w:rsidRPr="00000000" w14:paraId="00000053">
      <w:pPr>
        <w:rPr/>
      </w:pPr>
      <w:r w:rsidDel="00000000" w:rsidR="00000000" w:rsidRPr="00000000">
        <w:rPr>
          <w:rtl w:val="0"/>
        </w:rPr>
        <w:t xml:space="preserve">(/video-library)</w:t>
      </w:r>
    </w:p>
    <w:p w:rsidR="00000000" w:rsidDel="00000000" w:rsidP="00000000" w:rsidRDefault="00000000" w:rsidRPr="00000000" w14:paraId="00000054">
      <w:pPr>
        <w:pStyle w:val="Heading2"/>
        <w:rPr/>
      </w:pPr>
      <w:r w:rsidDel="00000000" w:rsidR="00000000" w:rsidRPr="00000000">
        <w:rPr>
          <w:rtl w:val="0"/>
        </w:rPr>
        <w:t xml:space="preserve">Glossary</w:t>
      </w:r>
    </w:p>
    <w:p w:rsidR="00000000" w:rsidDel="00000000" w:rsidP="00000000" w:rsidRDefault="00000000" w:rsidRPr="00000000" w14:paraId="00000055">
      <w:pPr>
        <w:rPr/>
      </w:pPr>
      <w:r w:rsidDel="00000000" w:rsidR="00000000" w:rsidRPr="00000000">
        <w:rPr>
          <w:rtl w:val="0"/>
        </w:rPr>
        <w:t xml:space="preserve">Technical terminology reference for gene targeting and mouse genetics: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Allele nomenclature conventions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Recombinase system terminology</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cell and mouse genetics terms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phase definitions</w:t>
      </w:r>
    </w:p>
    <w:p w:rsidR="00000000" w:rsidDel="00000000" w:rsidP="00000000" w:rsidRDefault="00000000" w:rsidRPr="00000000" w14:paraId="0000005A">
      <w:pPr>
        <w:rPr/>
      </w:pPr>
      <w:r w:rsidDel="00000000" w:rsidR="00000000" w:rsidRPr="00000000">
        <w:rPr>
          <w:rtl w:val="0"/>
        </w:rPr>
        <w:t xml:space="preserve">(/glossary)</w:t>
      </w:r>
    </w:p>
    <w:p w:rsidR="00000000" w:rsidDel="00000000" w:rsidP="00000000" w:rsidRDefault="00000000" w:rsidRPr="00000000" w14:paraId="0000005B">
      <w:pPr>
        <w:pStyle w:val="Heading2"/>
        <w:rPr/>
      </w:pPr>
      <w:r w:rsidDel="00000000" w:rsidR="00000000" w:rsidRPr="00000000">
        <w:rPr>
          <w:rtl w:val="0"/>
        </w:rPr>
        <w:t xml:space="preserve">Related Services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(/colony-management-services)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(/cryopreservation-services)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(/mouse-genotyping-service)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(/phenotyping-services)</w:t>
      </w:r>
    </w:p>
    <w:p w:rsidR="00000000" w:rsidDel="00000000" w:rsidP="00000000" w:rsidRDefault="00000000" w:rsidRPr="00000000" w14:paraId="00000060">
      <w:pPr>
        <w:pStyle w:val="Heading2"/>
        <w:rPr/>
      </w:pPr>
      <w:r w:rsidDel="00000000" w:rsidR="00000000" w:rsidRPr="00000000">
        <w:rPr>
          <w:rtl w:val="0"/>
        </w:rPr>
        <w:t xml:space="preserve">Start Your Project</w:t>
      </w:r>
    </w:p>
    <w:p w:rsidR="00000000" w:rsidDel="00000000" w:rsidP="00000000" w:rsidRDefault="00000000" w:rsidRPr="00000000" w14:paraId="00000061">
      <w:pPr>
        <w:rPr/>
      </w:pPr>
      <w:r w:rsidDel="00000000" w:rsidR="00000000" w:rsidRPr="00000000">
        <w:rPr>
          <w:rtl w:val="0"/>
        </w:rPr>
        <w:t xml:space="preserve">Ready to discuss your research goals? Our scientific consultants provide complimentary project design consultations to help you plan the optimal mouse model strategy.</w:t>
      </w:r>
    </w:p>
    <w:p w:rsidR="00000000" w:rsidDel="00000000" w:rsidP="00000000" w:rsidRDefault="00000000" w:rsidRPr="00000000" w14:paraId="00000062">
      <w:pPr>
        <w:rPr/>
      </w:pPr>
      <w:r w:rsidDel="00000000" w:rsidR="00000000" w:rsidRPr="00000000">
        <w:rPr>
          <w:rtl w:val="0"/>
        </w:rPr>
        <w:t xml:space="preserve">(/request-quote)</w:t>
      </w:r>
    </w:p>
    <w:p w:rsidR="00000000" w:rsidDel="00000000" w:rsidP="00000000" w:rsidRDefault="00000000" w:rsidRPr="00000000" w14:paraId="00000063">
      <w:pPr>
        <w:pStyle w:val="Heading2"/>
        <w:rPr/>
      </w:pPr>
      <w:r w:rsidDel="00000000" w:rsidR="00000000" w:rsidRPr="00000000">
        <w:rPr>
          <w:rtl w:val="0"/>
        </w:rPr>
        <w:t xml:space="preserve">Frequently Asked Questions</w:t>
      </w:r>
    </w:p>
    <w:p w:rsidR="00000000" w:rsidDel="00000000" w:rsidP="00000000" w:rsidRDefault="00000000" w:rsidRPr="00000000" w14:paraId="00000064">
      <w:pPr>
        <w:rPr/>
      </w:pPr>
      <w:r w:rsidDel="00000000" w:rsidR="00000000" w:rsidRPr="00000000">
        <w:rPr>
          <w:b w:val="1"/>
          <w:bCs w:val="1"/>
          <w:rtl w:val="0"/>
        </w:rPr>
        <w:t xml:space="preserve">What resources does ITL provide for mouse model projects?</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ITL provides comprehensive resources including selection guides (knockout strategy, conditional vs conventional, humanization strategy, reporter selection, Cre line selection), planning guides (model generation timeline, budgeting guide), case studies demonstrating successful project outcomes, technical resources, and FAQs addressing common project questions.</w:t>
      </w:r>
    </w:p>
    <w:p w:rsidR="00000000" w:rsidDel="00000000" w:rsidP="00000000" w:rsidRDefault="00000000" w:rsidRPr="00000000" w14:paraId="00000066">
      <w:pPr>
        <w:rPr/>
      </w:pPr>
      <w:r w:rsidDel="00000000" w:rsidR="00000000" w:rsidRPr="00000000">
        <w:rPr>
          <w:b w:val="1"/>
          <w:bCs w:val="1"/>
          <w:rtl w:val="0"/>
        </w:rPr>
        <w:t xml:space="preserve">How do I choose the right knockout or knockin strategy?</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Use the knockout or knockin strategy guide to compare global knockout, conditional knockout, and knockout-first approaches. Selection depends on whether the gene is essential (conditional avoids lethality), whether tissue-specific studies are needed (conditional enables spatial control), and whether temporal control is required (inducible conditional). ITL's scientific consultants provide complimentary consultation to help select optimal strategies.</w:t>
      </w:r>
    </w:p>
    <w:p w:rsidR="00000000" w:rsidDel="00000000" w:rsidP="00000000" w:rsidRDefault="00000000" w:rsidRPr="00000000" w14:paraId="00000068">
      <w:pPr>
        <w:rPr/>
      </w:pPr>
      <w:r w:rsidDel="00000000" w:rsidR="00000000" w:rsidRPr="00000000">
        <w:rPr>
          <w:b w:val="1"/>
          <w:bCs w:val="1"/>
          <w:rtl w:val="0"/>
        </w:rPr>
        <w:t xml:space="preserve">Where can I find case studies of successful projects?</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Case studies are available in the resources section and include examples of conditional knockout for embryonic lethal genes, humanized immune checkpoint models, reporter knockin for lineage tracing, and large-scale targeting for BAC integration. These demonstrate how ITL approaches complex targeting challenges and delivers research-ready models.</w:t>
      </w:r>
    </w:p>
    <w:p w:rsidR="00000000" w:rsidDel="00000000" w:rsidP="00000000" w:rsidRDefault="00000000" w:rsidRPr="00000000" w14:paraId="0000006A">
      <w:pPr>
        <w:rPr/>
      </w:pPr>
      <w:r w:rsidDel="00000000" w:rsidR="00000000" w:rsidRPr="00000000">
        <w:rPr>
          <w:b w:val="1"/>
          <w:bCs w:val="1"/>
          <w:rtl w:val="0"/>
        </w:rPr>
        <w:t xml:space="preserve">How do I access ITL's technical resources?</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Technical resources including selection guides, planning guides, case studies, and FAQs are available in the resources section. ITL's scientific consultants also provide complimentary project design consultations to help plan optimal mouse model strategies. Contact ITL through the request quote form or schedule a consultation.</w:t>
      </w:r>
    </w:p>
    <w:p w:rsidR="00000000" w:rsidDel="00000000" w:rsidP="00000000" w:rsidRDefault="00000000" w:rsidRPr="00000000" w14:paraId="0000006C">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nzdrASLTcvVE21+mKEEkGqpuHQ==">CgMxLjA4AHIhMWlVRGNRbHNWR1FvYjM3RG80c3h2MWd1bVlkZXlycXpn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