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Custom Mouse Models | Knockout, Knockin &amp; Humanized Mice | ingenious targeting laboratory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mouse models since 1998. 2,500+ projects, 800+ publications. Knockout, knockin, humanized and transgenic models for research.</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custom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Word Count: 2200</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Custom Mouse Models Designed for Study-Ready, Reproducible Research</w:t>
      </w:r>
    </w:p>
    <w:p w:rsidR="00000000" w:rsidDel="00000000" w:rsidP="00000000" w:rsidRDefault="00000000" w:rsidRPr="00000000" w14:paraId="00000009">
      <w:pPr>
        <w:pStyle w:val="Heading2"/>
        <w:keepNext w:val="0"/>
        <w:keepLines w:val="0"/>
        <w:spacing w:after="240" w:before="240" w:line="276" w:lineRule="auto"/>
        <w:rPr>
          <w:rFonts w:ascii="Arial" w:cs="Arial" w:eastAsia="Arial" w:hAnsi="Arial"/>
          <w:b w:val="0"/>
          <w:bCs w:val="0"/>
          <w:color w:val="000000"/>
        </w:rPr>
      </w:pPr>
      <w:bookmarkStart w:colFirst="0" w:colLast="0" w:name="_heading=h.t4ntgjio58ta" w:id="0"/>
      <w:bookmarkEnd w:id="0"/>
      <w:r w:rsidDel="00000000" w:rsidR="00000000" w:rsidRPr="00000000">
        <w:rPr>
          <w:rFonts w:ascii="Arial" w:cs="Arial" w:eastAsia="Arial" w:hAnsi="Arial"/>
          <w:b w:val="0"/>
          <w:bCs w:val="0"/>
          <w:color w:val="000000"/>
          <w:rtl w:val="0"/>
        </w:rPr>
        <w:t xml:space="preserve">ingenious targeting laboratory creates custom genetically engineered mouse models (GEMMs) designed for </w:t>
      </w:r>
      <w:r w:rsidDel="00000000" w:rsidR="00000000" w:rsidRPr="00000000">
        <w:rPr>
          <w:rFonts w:ascii="Arial" w:cs="Arial" w:eastAsia="Arial" w:hAnsi="Arial"/>
          <w:color w:val="000000"/>
          <w:rtl w:val="0"/>
        </w:rPr>
        <w:t xml:space="preserve">stable inheritance</w:t>
      </w:r>
      <w:r w:rsidDel="00000000" w:rsidR="00000000" w:rsidRPr="00000000">
        <w:rPr>
          <w:rFonts w:ascii="Arial" w:cs="Arial" w:eastAsia="Arial" w:hAnsi="Arial"/>
          <w:b w:val="0"/>
          <w:bCs w:val="0"/>
          <w:color w:val="000000"/>
          <w:rtl w:val="0"/>
        </w:rPr>
        <w:t xml:space="preserve">, </w:t>
      </w:r>
      <w:r w:rsidDel="00000000" w:rsidR="00000000" w:rsidRPr="00000000">
        <w:rPr>
          <w:rFonts w:ascii="Arial" w:cs="Arial" w:eastAsia="Arial" w:hAnsi="Arial"/>
          <w:color w:val="000000"/>
          <w:rtl w:val="0"/>
        </w:rPr>
        <w:t xml:space="preserve">controlled C57BL/6 backgrounds</w:t>
      </w:r>
      <w:r w:rsidDel="00000000" w:rsidR="00000000" w:rsidRPr="00000000">
        <w:rPr>
          <w:rFonts w:ascii="Arial" w:cs="Arial" w:eastAsia="Arial" w:hAnsi="Arial"/>
          <w:b w:val="0"/>
          <w:bCs w:val="0"/>
          <w:color w:val="000000"/>
          <w:rtl w:val="0"/>
        </w:rPr>
        <w:t xml:space="preserve">, and </w:t>
      </w:r>
      <w:r w:rsidDel="00000000" w:rsidR="00000000" w:rsidRPr="00000000">
        <w:rPr>
          <w:rFonts w:ascii="Arial" w:cs="Arial" w:eastAsia="Arial" w:hAnsi="Arial"/>
          <w:color w:val="000000"/>
          <w:rtl w:val="0"/>
        </w:rPr>
        <w:t xml:space="preserve">reproducible experimental cohorts</w:t>
      </w:r>
      <w:r w:rsidDel="00000000" w:rsidR="00000000" w:rsidRPr="00000000">
        <w:rPr>
          <w:rFonts w:ascii="Arial" w:cs="Arial" w:eastAsia="Arial" w:hAnsi="Arial"/>
          <w:b w:val="0"/>
          <w:bCs w:val="0"/>
          <w:color w:val="000000"/>
          <w:rtl w:val="0"/>
        </w:rPr>
        <w:t xml:space="preserve">. For more than two decades, researchers have partnered with our U.S.–based scientific team to achieve </w:t>
      </w:r>
      <w:r w:rsidDel="00000000" w:rsidR="00000000" w:rsidRPr="00000000">
        <w:rPr>
          <w:rFonts w:ascii="Arial" w:cs="Arial" w:eastAsia="Arial" w:hAnsi="Arial"/>
          <w:color w:val="000000"/>
          <w:rtl w:val="0"/>
        </w:rPr>
        <w:t xml:space="preserve">sequence-informed allele design</w:t>
      </w:r>
      <w:r w:rsidDel="00000000" w:rsidR="00000000" w:rsidRPr="00000000">
        <w:rPr>
          <w:rFonts w:ascii="Arial" w:cs="Arial" w:eastAsia="Arial" w:hAnsi="Arial"/>
          <w:b w:val="0"/>
          <w:bCs w:val="0"/>
          <w:color w:val="000000"/>
          <w:rtl w:val="0"/>
        </w:rPr>
        <w:t xml:space="preserve">, rigorous QC oversight, and </w:t>
      </w:r>
      <w:r w:rsidDel="00000000" w:rsidR="00000000" w:rsidRPr="00000000">
        <w:rPr>
          <w:rFonts w:ascii="Arial" w:cs="Arial" w:eastAsia="Arial" w:hAnsi="Arial"/>
          <w:color w:val="000000"/>
          <w:rtl w:val="0"/>
        </w:rPr>
        <w:t xml:space="preserve">study-ready, germline-transmitting mouse lines</w:t>
      </w:r>
      <w:r w:rsidDel="00000000" w:rsidR="00000000" w:rsidRPr="00000000">
        <w:rPr>
          <w:rFonts w:ascii="Arial" w:cs="Arial" w:eastAsia="Arial" w:hAnsi="Arial"/>
          <w:b w:val="0"/>
          <w:bCs w:val="0"/>
          <w:color w:val="000000"/>
          <w:rtl w:val="0"/>
        </w:rPr>
        <w:t xml:space="preserve">.</w:t>
      </w:r>
    </w:p>
    <w:p w:rsidR="00000000" w:rsidDel="00000000" w:rsidP="00000000" w:rsidRDefault="00000000" w:rsidRPr="00000000" w14:paraId="0000000A">
      <w:pPr>
        <w:pStyle w:val="Heading2"/>
        <w:keepNext w:val="0"/>
        <w:keepLines w:val="0"/>
        <w:spacing w:after="240" w:before="240" w:line="276" w:lineRule="auto"/>
        <w:rPr>
          <w:rFonts w:ascii="Arial" w:cs="Arial" w:eastAsia="Arial" w:hAnsi="Arial"/>
          <w:color w:val="000000"/>
        </w:rPr>
      </w:pPr>
      <w:bookmarkStart w:colFirst="0" w:colLast="0" w:name="_heading=h.t4ntgjio58ta" w:id="0"/>
      <w:bookmarkEnd w:id="0"/>
      <w:r w:rsidDel="00000000" w:rsidR="00000000" w:rsidRPr="00000000">
        <w:rPr>
          <w:rFonts w:ascii="Arial" w:cs="Arial" w:eastAsia="Arial" w:hAnsi="Arial"/>
          <w:color w:val="000000"/>
          <w:rtl w:val="0"/>
        </w:rPr>
        <w:t xml:space="preserve">ingenious targeting laboratory helps researchers determine the most appropriate approach for long-term allele stability, clear genotype interpretation, and successful model creation.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(/request-quote)</w:t>
      </w:r>
    </w:p>
    <w:p w:rsidR="00000000" w:rsidDel="00000000" w:rsidP="00000000" w:rsidRDefault="00000000" w:rsidRPr="00000000" w14:paraId="0000000D">
      <w:pPr>
        <w:rPr/>
      </w:pPr>
      <w:r w:rsidDel="00000000" w:rsidR="00000000" w:rsidRPr="00000000">
        <w:rPr>
          <w:rtl w:val="0"/>
        </w:rPr>
        <w:t xml:space="preserve">(/request-quote)</w:t>
      </w:r>
    </w:p>
    <w:p w:rsidR="00000000" w:rsidDel="00000000" w:rsidP="00000000" w:rsidRDefault="00000000" w:rsidRPr="00000000" w14:paraId="0000000E">
      <w:pPr>
        <w:pStyle w:val="Heading2"/>
        <w:rPr/>
      </w:pPr>
      <w:r w:rsidDel="00000000" w:rsidR="00000000" w:rsidRPr="00000000">
        <w:rPr>
          <w:rtl w:val="0"/>
        </w:rPr>
        <w:t xml:space="preserve">Core Research Services</w:t>
      </w:r>
    </w:p>
    <w:p w:rsidR="00000000" w:rsidDel="00000000" w:rsidP="00000000" w:rsidRDefault="00000000" w:rsidRPr="00000000" w14:paraId="0000000F">
      <w:pPr>
        <w:pStyle w:val="Heading3"/>
        <w:rPr/>
      </w:pPr>
      <w:r w:rsidDel="00000000" w:rsidR="00000000" w:rsidRPr="00000000">
        <w:rPr>
          <w:rtl w:val="0"/>
        </w:rPr>
        <w:t xml:space="preserve">Custom Mouse Models</w:t>
      </w:r>
    </w:p>
    <w:p w:rsidR="00000000" w:rsidDel="00000000" w:rsidP="00000000" w:rsidRDefault="00000000" w:rsidRPr="00000000" w14:paraId="00000010">
      <w:pPr>
        <w:rPr/>
      </w:pPr>
      <w:r w:rsidDel="00000000" w:rsidR="00000000" w:rsidRPr="00000000">
        <w:rPr>
          <w:rtl w:val="0"/>
        </w:rPr>
        <w:t xml:space="preserve">We create genetically engineered mouse models aligned with your genetic, regulatory, and phenotype-driven research questions—supporting precise allele design and background control.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(/custom-mouse-models)</w:t>
      </w:r>
    </w:p>
    <w:p w:rsidR="00000000" w:rsidDel="00000000" w:rsidP="00000000" w:rsidRDefault="00000000" w:rsidRPr="00000000" w14:paraId="00000013">
      <w:pPr>
        <w:pStyle w:val="Heading3"/>
        <w:rPr/>
      </w:pPr>
      <w:r w:rsidDel="00000000" w:rsidR="00000000" w:rsidRPr="00000000">
        <w:rPr>
          <w:rtl w:val="0"/>
        </w:rPr>
        <w:t xml:space="preserve">Cohort Development</w:t>
      </w:r>
    </w:p>
    <w:p w:rsidR="00000000" w:rsidDel="00000000" w:rsidP="00000000" w:rsidRDefault="00000000" w:rsidRPr="00000000" w14:paraId="00000014">
      <w:pPr>
        <w:rPr/>
      </w:pPr>
      <w:r w:rsidDel="00000000" w:rsidR="00000000" w:rsidRPr="00000000">
        <w:rPr>
          <w:rtl w:val="0"/>
        </w:rPr>
        <w:t xml:space="preserve">Study-ready cohorts on C57BL/6 backgrounds with structured breeding to support statistical power and multi-site reproducibility.</w:t>
      </w:r>
    </w:p>
    <w:p w:rsidR="00000000" w:rsidDel="00000000" w:rsidP="00000000" w:rsidRDefault="00000000" w:rsidRPr="00000000" w14:paraId="00000015">
      <w:pPr>
        <w:rPr/>
      </w:pPr>
      <w:r w:rsidDel="00000000" w:rsidR="00000000" w:rsidRPr="00000000">
        <w:rPr>
          <w:rtl w:val="0"/>
        </w:rPr>
        <w:t xml:space="preserve">(/colony-management-services)</w:t>
      </w:r>
    </w:p>
    <w:p w:rsidR="00000000" w:rsidDel="00000000" w:rsidP="00000000" w:rsidRDefault="00000000" w:rsidRPr="00000000" w14:paraId="00000016">
      <w:pPr>
        <w:pStyle w:val="Heading3"/>
        <w:rPr/>
      </w:pPr>
      <w:r w:rsidDel="00000000" w:rsidR="00000000" w:rsidRPr="00000000">
        <w:rPr>
          <w:rtl w:val="0"/>
        </w:rPr>
        <w:t xml:space="preserve">Catalog Library</w:t>
      </w:r>
    </w:p>
    <w:p w:rsidR="00000000" w:rsidDel="00000000" w:rsidP="00000000" w:rsidRDefault="00000000" w:rsidRPr="00000000" w14:paraId="00000017">
      <w:pPr>
        <w:rPr/>
      </w:pPr>
      <w:r w:rsidDel="00000000" w:rsidR="00000000" w:rsidRPr="00000000">
        <w:rPr>
          <w:rtl w:val="0"/>
        </w:rPr>
        <w:t xml:space="preserve">Access our catalog of 10,000+ genome engineered mouse and rat models for study-ready scientific discovery. </w:t>
      </w:r>
    </w:p>
    <w:p w:rsidR="00000000" w:rsidDel="00000000" w:rsidP="00000000" w:rsidRDefault="00000000" w:rsidRPr="00000000" w14:paraId="00000018">
      <w:pPr>
        <w:rPr/>
      </w:pPr>
      <w:r w:rsidDel="00000000" w:rsidR="00000000" w:rsidRPr="00000000">
        <w:rPr>
          <w:rtl w:val="0"/>
        </w:rPr>
        <w:t xml:space="preserve">(/catalog-mouse-models)</w:t>
      </w:r>
    </w:p>
    <w:p w:rsidR="00000000" w:rsidDel="00000000" w:rsidP="00000000" w:rsidRDefault="00000000" w:rsidRPr="00000000" w14:paraId="00000019">
      <w:pPr>
        <w:pStyle w:val="Heading3"/>
        <w:rPr/>
      </w:pPr>
      <w:r w:rsidDel="00000000" w:rsidR="00000000" w:rsidRPr="00000000">
        <w:rPr>
          <w:rtl w:val="0"/>
        </w:rPr>
        <w:t xml:space="preserve">Preclinical Services</w:t>
      </w:r>
    </w:p>
    <w:p w:rsidR="00000000" w:rsidDel="00000000" w:rsidP="00000000" w:rsidRDefault="00000000" w:rsidRPr="00000000" w14:paraId="0000001A">
      <w:pPr>
        <w:rPr/>
      </w:pPr>
      <w:r w:rsidDel="00000000" w:rsidR="00000000" w:rsidRPr="00000000">
        <w:rPr>
          <w:rtl w:val="0"/>
        </w:rPr>
        <w:t xml:space="preserve">Non-GLP phenotype characterization, PK/PD, pharmacology, and exploratory in vivo support for your custom or catalog animal models.</w:t>
      </w:r>
    </w:p>
    <w:p w:rsidR="00000000" w:rsidDel="00000000" w:rsidP="00000000" w:rsidRDefault="00000000" w:rsidRPr="00000000" w14:paraId="0000001B">
      <w:pPr>
        <w:rPr/>
      </w:pPr>
      <w:r w:rsidDel="00000000" w:rsidR="00000000" w:rsidRPr="00000000">
        <w:rPr>
          <w:rtl w:val="0"/>
        </w:rPr>
        <w:t xml:space="preserve">(/preclinical-services)</w:t>
      </w:r>
    </w:p>
    <w:p w:rsidR="00000000" w:rsidDel="00000000" w:rsidP="00000000" w:rsidRDefault="00000000" w:rsidRPr="00000000" w14:paraId="0000001C">
      <w:pPr>
        <w:pStyle w:val="Heading2"/>
        <w:rPr/>
      </w:pPr>
      <w:r w:rsidDel="00000000" w:rsidR="00000000" w:rsidRPr="00000000">
        <w:rPr>
          <w:rtl w:val="0"/>
        </w:rPr>
        <w:t xml:space="preserve">Overview</w:t>
      </w:r>
    </w:p>
    <w:p w:rsidR="00000000" w:rsidDel="00000000" w:rsidP="00000000" w:rsidRDefault="00000000" w:rsidRPr="00000000" w14:paraId="0000001D">
      <w:pPr>
        <w:pStyle w:val="Heading3"/>
        <w:rPr/>
      </w:pPr>
      <w:r w:rsidDel="00000000" w:rsidR="00000000" w:rsidRPr="00000000">
        <w:rPr>
          <w:rtl w:val="0"/>
        </w:rPr>
        <w:t xml:space="preserve">Why Researchers Choose ingenious targeting laboratory</w:t>
      </w:r>
    </w:p>
    <w:p w:rsidR="00000000" w:rsidDel="00000000" w:rsidP="00000000" w:rsidRDefault="00000000" w:rsidRPr="00000000" w14:paraId="0000001E">
      <w:pPr>
        <w:rPr/>
      </w:pPr>
      <w:r w:rsidDel="00000000" w:rsidR="00000000" w:rsidRPr="00000000">
        <w:rPr>
          <w:rtl w:val="0"/>
        </w:rPr>
        <w:t xml:space="preserve">For more than 30 years, ingenious targeting laboratory has supported biomedical research with animal models that provide stable allele designs, reproducible cohorts, C57BL/6 backgrounds, and U.S.-based QC oversight. Each project follows an evidence-based, results-driven approach to deliver animal models with reliable inheritance and long-term performance.</w:t>
      </w:r>
    </w:p>
    <w:p w:rsidR="00000000" w:rsidDel="00000000" w:rsidP="00000000" w:rsidRDefault="00000000" w:rsidRPr="00000000" w14:paraId="0000001F">
      <w:pPr>
        <w:pStyle w:val="Heading3"/>
        <w:rPr/>
      </w:pPr>
      <w:r w:rsidDel="00000000" w:rsidR="00000000" w:rsidRPr="00000000">
        <w:rPr>
          <w:rtl w:val="0"/>
        </w:rPr>
        <w:t xml:space="preserve">What We Provide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Custom mouse models including conventional knockouts, conditional knockouts, knock-ins (point mutation, cDNA, gene replacement), reporter alleles, Rosa26 and other targeted transgenics, and humanized models.</w:t>
      </w:r>
    </w:p>
    <w:p w:rsidR="00000000" w:rsidDel="00000000" w:rsidP="00000000" w:rsidRDefault="00000000" w:rsidRPr="00000000" w14:paraId="00000022">
      <w:pPr>
        <w:rPr/>
      </w:pPr>
      <w:r w:rsidDel="00000000" w:rsidR="00000000" w:rsidRPr="00000000">
        <w:rPr>
          <w:rtl w:val="0"/>
        </w:rPr>
        <w:t xml:space="preserve">• Multi-generation cohort development and colony planning for study readiness.</w:t>
      </w:r>
    </w:p>
    <w:p w:rsidR="00000000" w:rsidDel="00000000" w:rsidP="00000000" w:rsidRDefault="00000000" w:rsidRPr="00000000" w14:paraId="00000023">
      <w:pPr>
        <w:rPr/>
      </w:pPr>
      <w:r w:rsidDel="00000000" w:rsidR="00000000" w:rsidRPr="00000000">
        <w:rPr>
          <w:rtl w:val="0"/>
        </w:rPr>
        <w:t xml:space="preserve">• Animal model catalog access to 10,000+ lines for study-ready biomedical research. </w:t>
      </w:r>
    </w:p>
    <w:p w:rsidR="00000000" w:rsidDel="00000000" w:rsidP="00000000" w:rsidRDefault="00000000" w:rsidRPr="00000000" w14:paraId="00000024">
      <w:pPr>
        <w:rPr/>
      </w:pPr>
      <w:r w:rsidDel="00000000" w:rsidR="00000000" w:rsidRPr="00000000">
        <w:rPr>
          <w:rtl w:val="0"/>
        </w:rPr>
        <w:t xml:space="preserve">• Integrated non-GLP preclinical services for your custom or catalog model to support translational decisions</w:t>
      </w:r>
    </w:p>
    <w:p w:rsidR="00000000" w:rsidDel="00000000" w:rsidP="00000000" w:rsidRDefault="00000000" w:rsidRPr="00000000" w14:paraId="00000025">
      <w:pPr>
        <w:pStyle w:val="Heading2"/>
        <w:rPr/>
      </w:pPr>
      <w:r w:rsidDel="00000000" w:rsidR="00000000" w:rsidRPr="00000000">
        <w:rPr>
          <w:rtl w:val="0"/>
        </w:rPr>
        <w:t xml:space="preserve">Modern Model-Generation Landscape</w:t>
      </w:r>
    </w:p>
    <w:p w:rsidR="00000000" w:rsidDel="00000000" w:rsidP="00000000" w:rsidRDefault="00000000" w:rsidRPr="00000000" w14:paraId="00000026">
      <w:pPr>
        <w:rPr/>
      </w:pPr>
      <w:r w:rsidDel="00000000" w:rsidR="00000000" w:rsidRPr="00000000">
        <w:rPr>
          <w:rtl w:val="0"/>
        </w:rPr>
        <w:t xml:space="preserve">Across today's research environment, scientists utilize a wide array of genome-modification technologies, including programmable nucleases, rapid-editing strategies, exploratory one-cell–stage modifications, and other contemporary editing systems used throughout the field. These approaches and others are discussed with an emphasis on structured allele design, stable inheritance, and multi-generational reproducibility for long-term performance aligned with your specific study requirements.</w:t>
      </w:r>
    </w:p>
    <w:p w:rsidR="00000000" w:rsidDel="00000000" w:rsidP="00000000" w:rsidRDefault="00000000" w:rsidRPr="00000000" w14:paraId="00000027">
      <w:pPr>
        <w:pStyle w:val="Heading2"/>
        <w:rPr/>
      </w:pPr>
      <w:r w:rsidDel="00000000" w:rsidR="00000000" w:rsidRPr="00000000">
        <w:rPr>
          <w:rtl w:val="0"/>
        </w:rPr>
        <w:t xml:space="preserve">ingenious targeting laboratory's High-Level Approach</w:t>
      </w:r>
    </w:p>
    <w:p w:rsidR="00000000" w:rsidDel="00000000" w:rsidP="00000000" w:rsidRDefault="00000000" w:rsidRPr="00000000" w14:paraId="00000028">
      <w:pPr>
        <w:pStyle w:val="Heading3"/>
        <w:rPr/>
      </w:pPr>
      <w:r w:rsidDel="00000000" w:rsidR="00000000" w:rsidRPr="00000000">
        <w:rPr>
          <w:rtl w:val="0"/>
        </w:rPr>
        <w:t xml:space="preserve">Optimized Targeting Strategy</w:t>
      </w:r>
    </w:p>
    <w:p w:rsidR="00000000" w:rsidDel="00000000" w:rsidP="00000000" w:rsidRDefault="00000000" w:rsidRPr="00000000" w14:paraId="00000029">
      <w:pPr>
        <w:rPr/>
      </w:pPr>
      <w:r w:rsidDel="00000000" w:rsidR="00000000" w:rsidRPr="00000000">
        <w:rPr>
          <w:rtl w:val="0"/>
        </w:rPr>
        <w:t xml:space="preserve">We evaluate all available genome engineering technologies to determine the best method for your specific research goals. Technology selection is based on allele complexity, stability requirements, and reproducibility standards.</w:t>
      </w:r>
    </w:p>
    <w:p w:rsidR="00000000" w:rsidDel="00000000" w:rsidP="00000000" w:rsidRDefault="00000000" w:rsidRPr="00000000" w14:paraId="0000002A">
      <w:pPr>
        <w:pStyle w:val="Heading3"/>
        <w:rPr/>
      </w:pPr>
      <w:r w:rsidDel="00000000" w:rsidR="00000000" w:rsidRPr="00000000">
        <w:rPr>
          <w:rtl w:val="0"/>
        </w:rPr>
        <w:t xml:space="preserve">U.S.-Based QC Oversight</w:t>
      </w:r>
    </w:p>
    <w:p w:rsidR="00000000" w:rsidDel="00000000" w:rsidP="00000000" w:rsidRDefault="00000000" w:rsidRPr="00000000" w14:paraId="0000002B">
      <w:pPr>
        <w:rPr/>
      </w:pPr>
      <w:r w:rsidDel="00000000" w:rsidR="00000000" w:rsidRPr="00000000">
        <w:rPr>
          <w:rtl w:val="0"/>
        </w:rPr>
        <w:t xml:space="preserve">Each stage of custom development—allele confirmation, germline transmission, colony establishment, and cohort expansion—is validated through U.S.-based QC. This comprehensive oversight ensures consistent quality and reliable results across all project phases.</w:t>
      </w:r>
    </w:p>
    <w:p w:rsidR="00000000" w:rsidDel="00000000" w:rsidP="00000000" w:rsidRDefault="00000000" w:rsidRPr="00000000" w14:paraId="0000002C">
      <w:pPr>
        <w:pStyle w:val="Heading3"/>
        <w:rPr/>
      </w:pPr>
      <w:r w:rsidDel="00000000" w:rsidR="00000000" w:rsidRPr="00000000">
        <w:rPr>
          <w:rtl w:val="0"/>
        </w:rPr>
        <w:t xml:space="preserve">Project Backgrounds</w:t>
      </w:r>
    </w:p>
    <w:p w:rsidR="00000000" w:rsidDel="00000000" w:rsidP="00000000" w:rsidRDefault="00000000" w:rsidRPr="00000000" w14:paraId="0000002D">
      <w:pPr>
        <w:rPr/>
      </w:pPr>
      <w:r w:rsidDel="00000000" w:rsidR="00000000" w:rsidRPr="00000000">
        <w:rPr>
          <w:rtl w:val="0"/>
        </w:rPr>
        <w:t xml:space="preserve">The C57BL/6 background ensures reproducibility across cohorts, replicates, and multi-site studies to eliminate confounding variables and support consistent phenotypic outcomes.</w:t>
      </w:r>
    </w:p>
    <w:p w:rsidR="00000000" w:rsidDel="00000000" w:rsidP="00000000" w:rsidRDefault="00000000" w:rsidRPr="00000000" w14:paraId="0000002E">
      <w:pPr>
        <w:pStyle w:val="Heading3"/>
        <w:rPr/>
      </w:pPr>
      <w:r w:rsidDel="00000000" w:rsidR="00000000" w:rsidRPr="00000000">
        <w:rPr>
          <w:rtl w:val="0"/>
        </w:rPr>
        <w:t xml:space="preserve">Structured Allele Design</w:t>
      </w:r>
    </w:p>
    <w:p w:rsidR="00000000" w:rsidDel="00000000" w:rsidP="00000000" w:rsidRDefault="00000000" w:rsidRPr="00000000" w14:paraId="0000002F">
      <w:pPr>
        <w:rPr/>
      </w:pPr>
      <w:r w:rsidDel="00000000" w:rsidR="00000000" w:rsidRPr="00000000">
        <w:rPr>
          <w:rtl w:val="0"/>
        </w:rPr>
        <w:t xml:space="preserve">Allele designs are chosen to support reliable and consistent performance across downstream assays. This includes constitutive knockout, conditional knockout, reporter gene insertion, knock-in (point mutation, cDNA), and humanization projects, all designed to maintain stable inheritance and interpretable outcomes across generations.</w:t>
      </w:r>
    </w:p>
    <w:p w:rsidR="00000000" w:rsidDel="00000000" w:rsidP="00000000" w:rsidRDefault="00000000" w:rsidRPr="00000000" w14:paraId="00000030">
      <w:pPr>
        <w:pStyle w:val="Heading2"/>
        <w:rPr/>
      </w:pPr>
      <w:r w:rsidDel="00000000" w:rsidR="00000000" w:rsidRPr="00000000">
        <w:rPr>
          <w:rtl w:val="0"/>
        </w:rPr>
        <w:t xml:space="preserve">Conceptual Workflow</w:t>
      </w:r>
    </w:p>
    <w:p w:rsidR="00000000" w:rsidDel="00000000" w:rsidP="00000000" w:rsidRDefault="00000000" w:rsidRPr="00000000" w14:paraId="00000031">
      <w:pPr>
        <w:rPr/>
      </w:pPr>
      <w:r w:rsidDel="00000000" w:rsidR="00000000" w:rsidRPr="00000000">
        <w:rPr>
          <w:rtl w:val="0"/>
        </w:rPr>
        <w:t xml:space="preserve">Our systematic approach ensures consistent results from project initiation through delivery of study-ready cohorts:</w:t>
      </w:r>
    </w:p>
    <w:p w:rsidR="00000000" w:rsidDel="00000000" w:rsidP="00000000" w:rsidRDefault="00000000" w:rsidRPr="00000000" w14:paraId="00000032">
      <w:pPr>
        <w:rPr/>
      </w:pPr>
      <w:r w:rsidDel="00000000" w:rsidR="00000000" w:rsidRPr="00000000">
        <w:rPr>
          <w:b w:val="1"/>
          <w:bCs w:val="1"/>
          <w:rtl w:val="0"/>
        </w:rPr>
        <w:t xml:space="preserve">1. Project Consultation</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Free scientific consultation to review experimental goals, recommend optimal targeting strategies, and provide timeline and pricing estimates.</w:t>
      </w:r>
    </w:p>
    <w:p w:rsidR="00000000" w:rsidDel="00000000" w:rsidP="00000000" w:rsidRDefault="00000000" w:rsidRPr="00000000" w14:paraId="00000034">
      <w:pPr>
        <w:rPr/>
      </w:pPr>
      <w:r w:rsidDel="00000000" w:rsidR="00000000" w:rsidRPr="00000000">
        <w:rPr>
          <w:b w:val="1"/>
          <w:bCs w:val="1"/>
          <w:rtl w:val="0"/>
        </w:rPr>
        <w:t xml:space="preserve">2. Allele Design</w:t>
      </w: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Custom allele design development based on your research requirements, including selection of appropriate targeting approach and cassette configuration.</w:t>
      </w:r>
    </w:p>
    <w:p w:rsidR="00000000" w:rsidDel="00000000" w:rsidP="00000000" w:rsidRDefault="00000000" w:rsidRPr="00000000" w14:paraId="00000036">
      <w:pPr>
        <w:rPr/>
      </w:pPr>
      <w:r w:rsidDel="00000000" w:rsidR="00000000" w:rsidRPr="00000000">
        <w:rPr>
          <w:b w:val="1"/>
          <w:bCs w:val="1"/>
          <w:rtl w:val="0"/>
        </w:rPr>
        <w:t xml:space="preserve">3. Targeting Materials</w:t>
      </w: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Design and synthesis of targeting materials, including sequence verification and quality control. </w:t>
      </w:r>
    </w:p>
    <w:p w:rsidR="00000000" w:rsidDel="00000000" w:rsidP="00000000" w:rsidRDefault="00000000" w:rsidRPr="00000000" w14:paraId="00000038">
      <w:pPr>
        <w:rPr/>
      </w:pPr>
      <w:r w:rsidDel="00000000" w:rsidR="00000000" w:rsidRPr="00000000">
        <w:rPr>
          <w:b w:val="1"/>
          <w:bCs w:val="1"/>
          <w:rtl w:val="0"/>
        </w:rPr>
        <w:t xml:space="preserve">4. Germline Transmission</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Injection and breeding of F0s to achieve germline transmission. </w:t>
      </w:r>
    </w:p>
    <w:p w:rsidR="00000000" w:rsidDel="00000000" w:rsidP="00000000" w:rsidRDefault="00000000" w:rsidRPr="00000000" w14:paraId="0000003A">
      <w:pPr>
        <w:rPr/>
      </w:pPr>
      <w:r w:rsidDel="00000000" w:rsidR="00000000" w:rsidRPr="00000000">
        <w:rPr>
          <w:b w:val="1"/>
          <w:bCs w:val="1"/>
          <w:rtl w:val="0"/>
        </w:rPr>
        <w:t xml:space="preserve">5. Cohort Development</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Study-ready cohort expansion with structured breeding for statistical power.</w:t>
      </w:r>
    </w:p>
    <w:p w:rsidR="00000000" w:rsidDel="00000000" w:rsidP="00000000" w:rsidRDefault="00000000" w:rsidRPr="00000000" w14:paraId="0000003C">
      <w:pPr>
        <w:rPr/>
      </w:pPr>
      <w:r w:rsidDel="00000000" w:rsidR="00000000" w:rsidRPr="00000000">
        <w:rPr>
          <w:rtl w:val="0"/>
        </w:rPr>
        <w:t xml:space="preserve">(/model-generation-timeline)</w:t>
      </w:r>
    </w:p>
    <w:p w:rsidR="00000000" w:rsidDel="00000000" w:rsidP="00000000" w:rsidRDefault="00000000" w:rsidRPr="00000000" w14:paraId="0000003D">
      <w:pPr>
        <w:pStyle w:val="Heading2"/>
        <w:rPr/>
      </w:pPr>
      <w:r w:rsidDel="00000000" w:rsidR="00000000" w:rsidRPr="00000000">
        <w:rPr>
          <w:rtl w:val="0"/>
        </w:rPr>
        <w:t xml:space="preserve">Trusted by Researchers Worldwide</w:t>
      </w:r>
    </w:p>
    <w:p w:rsidR="00000000" w:rsidDel="00000000" w:rsidP="00000000" w:rsidRDefault="00000000" w:rsidRPr="00000000" w14:paraId="0000003E">
      <w:pPr>
        <w:rPr/>
      </w:pPr>
      <w:r w:rsidDel="00000000" w:rsidR="00000000" w:rsidRPr="00000000">
        <w:rPr>
          <w:rtl w:val="0"/>
        </w:rPr>
        <w:t xml:space="preserve">Since 1998 · 2,500+ Projects Completed · 800+ Peer Reviewed Publications · Nature · Science · Cell</w:t>
      </w:r>
    </w:p>
    <w:p w:rsidR="00000000" w:rsidDel="00000000" w:rsidP="00000000" w:rsidRDefault="00000000" w:rsidRPr="00000000" w14:paraId="0000003F">
      <w:pPr>
        <w:rPr/>
      </w:pPr>
      <w:r w:rsidDel="00000000" w:rsidR="00000000" w:rsidRPr="00000000">
        <w:rPr>
          <w:rtl w:val="0"/>
        </w:rPr>
        <w:t xml:space="preserve">ingenious targeting laboratory has generated custom mouse models for researchers at leading academic institutions, pharmaceutical companies, and biotechnology organizations worldwide. Our models have contributed to research published in the most prestigious scientific journals.</w:t>
      </w:r>
    </w:p>
    <w:p w:rsidR="00000000" w:rsidDel="00000000" w:rsidP="00000000" w:rsidRDefault="00000000" w:rsidRPr="00000000" w14:paraId="00000040">
      <w:pPr>
        <w:rPr/>
      </w:pPr>
      <w:r w:rsidDel="00000000" w:rsidR="00000000" w:rsidRPr="00000000">
        <w:rPr>
          <w:rtl w:val="0"/>
        </w:rPr>
        <w:t xml:space="preserve">(/publications)</w:t>
      </w:r>
    </w:p>
    <w:p w:rsidR="00000000" w:rsidDel="00000000" w:rsidP="00000000" w:rsidRDefault="00000000" w:rsidRPr="00000000" w14:paraId="00000041">
      <w:pPr>
        <w:pStyle w:val="Heading2"/>
        <w:rPr/>
      </w:pPr>
      <w:r w:rsidDel="00000000" w:rsidR="00000000" w:rsidRPr="00000000">
        <w:rPr>
          <w:rtl w:val="0"/>
        </w:rPr>
        <w:t xml:space="preserve">What Researchers Say</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Hephaestin flox model Ingenious has made for us has been great. It has helped generate eight research publications."</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**Joshua Dunaief, PhD, MD**, University of Pennsylvania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"We have generated 2 conditional knockout mouse lines with Ingenious. Their scientific consulting was superb and both projects have gone very smoothly."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**Hyekyung Plumley, PhD**, </w:t>
      </w:r>
      <w:r w:rsidDel="00000000" w:rsidR="00000000" w:rsidRPr="00000000">
        <w:rPr>
          <w:i w:val="1"/>
          <w:iCs w:val="1"/>
          <w:rtl w:val="0"/>
        </w:rPr>
        <w:t xml:space="preserve">Warren Center for Neuroscience Drug Discovery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and performed to the highest possible standards."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4B">
      <w:pPr>
        <w:rPr/>
      </w:pPr>
      <w:r w:rsidDel="00000000" w:rsidR="00000000" w:rsidRPr="00000000">
        <w:rPr>
          <w:rtl w:val="0"/>
        </w:rPr>
        <w:t xml:space="preserve">(/testimonials)</w:t>
      </w:r>
    </w:p>
    <w:p w:rsidR="00000000" w:rsidDel="00000000" w:rsidP="00000000" w:rsidRDefault="00000000" w:rsidRPr="00000000" w14:paraId="0000004C">
      <w:pPr>
        <w:pStyle w:val="Heading2"/>
        <w:rPr/>
      </w:pPr>
      <w:r w:rsidDel="00000000" w:rsidR="00000000" w:rsidRPr="00000000">
        <w:rPr>
          <w:rtl w:val="0"/>
        </w:rPr>
        <w:t xml:space="preserve">Start Your Project</w:t>
      </w:r>
    </w:p>
    <w:p w:rsidR="00000000" w:rsidDel="00000000" w:rsidP="00000000" w:rsidRDefault="00000000" w:rsidRPr="00000000" w14:paraId="0000004D">
      <w:pPr>
        <w:rPr/>
      </w:pPr>
      <w:r w:rsidDel="00000000" w:rsidR="00000000" w:rsidRPr="00000000">
        <w:rPr>
          <w:rtl w:val="0"/>
        </w:rPr>
        <w:t xml:space="preserve">Our scientific consultants are ready to discuss your research requirements and recommend the optimal approach for your project. Initial consultation is provided at no charge and includes allele design recommendations, timeline estimates, and project pricing.</w:t>
      </w:r>
    </w:p>
    <w:p w:rsidR="00000000" w:rsidDel="00000000" w:rsidP="00000000" w:rsidRDefault="00000000" w:rsidRPr="00000000" w14:paraId="0000004E">
      <w:pPr>
        <w:rPr/>
      </w:pPr>
      <w:r w:rsidDel="00000000" w:rsidR="00000000" w:rsidRPr="00000000">
        <w:rPr>
          <w:rtl w:val="0"/>
        </w:rPr>
        <w:t xml:space="preserve">(/request-quote)</w:t>
      </w:r>
    </w:p>
    <w:p w:rsidR="00000000" w:rsidDel="00000000" w:rsidP="00000000" w:rsidRDefault="00000000" w:rsidRPr="00000000" w14:paraId="0000004F">
      <w:pPr>
        <w:rPr/>
      </w:pPr>
      <w:r w:rsidDel="00000000" w:rsidR="00000000" w:rsidRPr="00000000">
        <w:rPr>
          <w:rtl w:val="0"/>
        </w:rPr>
        <w:t xml:space="preserve">(/request-quote)</w:t>
      </w:r>
    </w:p>
    <w:p w:rsidR="00000000" w:rsidDel="00000000" w:rsidP="00000000" w:rsidRDefault="00000000" w:rsidRPr="00000000" w14:paraId="00000050">
      <w:pPr>
        <w:pStyle w:val="Heading2"/>
        <w:rPr/>
      </w:pPr>
      <w:r w:rsidDel="00000000" w:rsidR="00000000" w:rsidRPr="00000000">
        <w:rPr>
          <w:rtl w:val="0"/>
        </w:rPr>
        <w:t xml:space="preserve">Frequently Asked Questions</w:t>
      </w:r>
    </w:p>
    <w:p w:rsidR="00000000" w:rsidDel="00000000" w:rsidP="00000000" w:rsidRDefault="00000000" w:rsidRPr="00000000" w14:paraId="00000051">
      <w:pPr>
        <w:rPr/>
      </w:pPr>
      <w:r w:rsidDel="00000000" w:rsidR="00000000" w:rsidRPr="00000000">
        <w:rPr>
          <w:b w:val="1"/>
          <w:bCs w:val="1"/>
          <w:rtl w:val="0"/>
        </w:rPr>
        <w:t xml:space="preserve">What types of custom mouse models does ingenious targeting laboratory generate?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ingenious targeting laboratory generates custom mouse models including conventional knockouts, conditional knockouts (floxed alleles), knockins (point mutations, cDNA, gene replacement, reporters), Rosa26 and other targeted transgenics, and humanized models. </w:t>
      </w:r>
    </w:p>
    <w:p w:rsidR="00000000" w:rsidDel="00000000" w:rsidP="00000000" w:rsidRDefault="00000000" w:rsidRPr="00000000" w14:paraId="00000053">
      <w:pPr>
        <w:rPr/>
      </w:pPr>
      <w:r w:rsidDel="00000000" w:rsidR="00000000" w:rsidRPr="00000000">
        <w:rPr>
          <w:b w:val="1"/>
          <w:bCs w:val="1"/>
          <w:rtl w:val="0"/>
        </w:rPr>
        <w:t xml:space="preserve">What strain backgrounds are available for custom models?</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ingenious targeting laboratory primarily works with C57BL/6 background. Other strain backgrounds (BALB/c, 129) are available upon request.</w:t>
      </w:r>
    </w:p>
    <w:p w:rsidR="00000000" w:rsidDel="00000000" w:rsidP="00000000" w:rsidRDefault="00000000" w:rsidRPr="00000000" w14:paraId="00000055">
      <w:pPr>
        <w:rPr/>
      </w:pPr>
      <w:r w:rsidDel="00000000" w:rsidR="00000000" w:rsidRPr="00000000">
        <w:rPr>
          <w:b w:val="1"/>
          <w:bCs w:val="1"/>
          <w:rtl w:val="0"/>
        </w:rPr>
        <w:t xml:space="preserve">How do I get started with a custom mouse model project?</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Contact ingenious targeting laboratory through our request quote form or schedule a consultation. Our scientific team provides complimentary consultation to discuss your research goals, targeting strategies, and develop a project proposal. We work with you throughout the project to ensure the model meets your research needs.</w:t>
      </w:r>
    </w:p>
    <w:p w:rsidR="00000000" w:rsidDel="00000000" w:rsidP="00000000" w:rsidRDefault="00000000" w:rsidRPr="00000000" w14:paraId="00000057">
      <w:pPr>
        <w:pStyle w:val="Heading2"/>
        <w:rPr/>
      </w:pPr>
      <w:r w:rsidDel="00000000" w:rsidR="00000000" w:rsidRPr="00000000">
        <w:rPr>
          <w:rtl w:val="0"/>
        </w:rPr>
        <w:t xml:space="preserve">Quality Confirmation</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elements labeled</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Primary keyword "custom mouse model" in title and meta</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Hero section matches Webflow design structure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Core Research Services (4 cards) as per Webflow</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 section with Why Choose + What We Provide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Modern Model-Generation Landscape section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High-Level Approach (4 subsections)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Conceptual Workflow section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Trust elements and publications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Testimonials section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Multiple CTAs throughout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internal links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Word count ~2,200</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QJEsfWLo9Ce1xCEaPiTQcX+wbQ==">CgMxLjAyDmgudDRudGdqaW81OHRhMg5oLnQ0bnRnamlvNTh0YTgAciExOGpqWUNxYTZQNXF3MFZLcEZXTG91TFlEVldMOUJJRmM=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