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Knockin Mouse Models | Point Mutations, Reporters &amp; Tags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/knockin-mouse-models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knockin mouse models for gene modification. Point mutations, reporters, tags, and cDNA insertions for research applications.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knockin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knockin mice, point mutation mouse, reporter knockin, tag knockin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Knockin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for researchers at universities, pharmaceutical companies, and research institutions worldwide. Our mouse models have supported research published in more than 800 peer reviewed articles, including in Science, Nature, and Cell.</w:t>
      </w:r>
    </w:p>
    <w:p w:rsidR="00000000" w:rsidDel="00000000" w:rsidP="00000000" w:rsidRDefault="00000000" w:rsidRPr="00000000" w14:paraId="0000000B">
      <w:pPr>
        <w:rPr/>
      </w:pPr>
      <w:r w:rsidDel="00000000" w:rsidR="00000000" w:rsidRPr="00000000">
        <w:rPr>
          <w:rtl w:val="0"/>
        </w:rPr>
        <w:t xml:space="preserve">Knockin mouse models enable precise genetic modifications at endogenous loci. Unlike knockout models that eliminate gene function, knockin models modify genes in specific ways: introducing point mutations that mimic human disease alleles, inserting reporter genes to visualize expression patterns, or adding epitope tags to track protein localization. Because modifications occur at the native locus, knockin alleles maintain endogenous regulatory control over expression timing, tissue distribution, and transcript processing.</w:t>
      </w:r>
    </w:p>
    <w:p w:rsidR="00000000" w:rsidDel="00000000" w:rsidP="00000000" w:rsidRDefault="00000000" w:rsidRPr="00000000" w14:paraId="0000000C">
      <w:pPr>
        <w:rPr/>
      </w:pPr>
      <w:r w:rsidDel="00000000" w:rsidR="00000000" w:rsidRPr="00000000">
        <w:rPr>
          <w:rtl w:val="0"/>
        </w:rPr>
        <w:t xml:space="preserve">From single nucleotide changes to complete gene replacements, ITL designs and delivers knockin mice tailored to your experimental requirements.</w:t>
      </w:r>
    </w:p>
    <w:p w:rsidR="00000000" w:rsidDel="00000000" w:rsidP="00000000" w:rsidRDefault="00000000" w:rsidRPr="00000000" w14:paraId="0000000D">
      <w:pPr>
        <w:pStyle w:val="Heading2"/>
        <w:rPr/>
      </w:pPr>
      <w:r w:rsidDel="00000000" w:rsidR="00000000" w:rsidRPr="00000000">
        <w:rPr>
          <w:rtl w:val="0"/>
        </w:rPr>
        <w:t xml:space="preserve">Knockin Approaches</w:t>
      </w:r>
    </w:p>
    <w:p w:rsidR="00000000" w:rsidDel="00000000" w:rsidP="00000000" w:rsidRDefault="00000000" w:rsidRPr="00000000" w14:paraId="0000000E">
      <w:pPr>
        <w:pStyle w:val="Heading3"/>
        <w:rPr/>
      </w:pPr>
      <w:r w:rsidDel="00000000" w:rsidR="00000000" w:rsidRPr="00000000">
        <w:rPr>
          <w:rtl w:val="0"/>
        </w:rPr>
        <w:t xml:space="preserve">Point Mutation Knockin</w:t>
      </w:r>
    </w:p>
    <w:p w:rsidR="00000000" w:rsidDel="00000000" w:rsidP="00000000" w:rsidRDefault="00000000" w:rsidRPr="00000000" w14:paraId="0000000F">
      <w:pPr>
        <w:rPr/>
      </w:pPr>
      <w:r w:rsidDel="00000000" w:rsidR="00000000" w:rsidRPr="00000000">
        <w:rPr>
          <w:rtl w:val="0"/>
        </w:rPr>
        <w:t xml:space="preserve">Point mutation knockin models introduce specific nucleotide changes into the endogenous gene. This approach is essential for modeling human disease alleles, studying structure function relationships, and creating drug resistant or drug sensitized variants for pharmacological studies.</w:t>
      </w:r>
    </w:p>
    <w:p w:rsidR="00000000" w:rsidDel="00000000" w:rsidP="00000000" w:rsidRDefault="00000000" w:rsidRPr="00000000" w14:paraId="00000010">
      <w:pPr>
        <w:rPr/>
      </w:pPr>
      <w:r w:rsidDel="00000000" w:rsidR="00000000" w:rsidRPr="00000000">
        <w:rPr>
          <w:rtl w:val="0"/>
        </w:rPr>
        <w:t xml:space="preserve">Point mutations can be introduced as constitutive changes present from conception, or as conditional alleles that convert from wildtype to mutant sequence upon Cre mediated recombination.</w:t>
      </w:r>
    </w:p>
    <w:p w:rsidR="00000000" w:rsidDel="00000000" w:rsidP="00000000" w:rsidRDefault="00000000" w:rsidRPr="00000000" w14:paraId="00000011">
      <w:pPr>
        <w:rPr/>
      </w:pPr>
      <w:r w:rsidDel="00000000" w:rsidR="00000000" w:rsidRPr="00000000">
        <w:rPr>
          <w:rtl w:val="0"/>
        </w:rPr>
        <w:t xml:space="preserve">(/point-mutation-mice)</w:t>
      </w:r>
    </w:p>
    <w:p w:rsidR="00000000" w:rsidDel="00000000" w:rsidP="00000000" w:rsidRDefault="00000000" w:rsidRPr="00000000" w14:paraId="00000012">
      <w:pPr>
        <w:pStyle w:val="Heading3"/>
        <w:rPr/>
      </w:pPr>
      <w:r w:rsidDel="00000000" w:rsidR="00000000" w:rsidRPr="00000000">
        <w:rPr>
          <w:rtl w:val="0"/>
        </w:rPr>
        <w:t xml:space="preserve">Reporter Knockin</w:t>
      </w:r>
    </w:p>
    <w:p w:rsidR="00000000" w:rsidDel="00000000" w:rsidP="00000000" w:rsidRDefault="00000000" w:rsidRPr="00000000" w14:paraId="00000013">
      <w:pPr>
        <w:rPr/>
      </w:pPr>
      <w:r w:rsidDel="00000000" w:rsidR="00000000" w:rsidRPr="00000000">
        <w:rPr>
          <w:rtl w:val="0"/>
        </w:rPr>
        <w:t xml:space="preserve">Reporter knockin models insert visualization markers at endogenous loci. Common reporters include fluorescent proteins (GFP, tdTomato, mCherry), enzymatic reporters (LacZ, alkaline phosphatase), and bioluminescent reporters (luciferase). Reporter expression is driven by the endogenous promoter, providing accurate readout of native gene expression patterns.</w:t>
      </w:r>
    </w:p>
    <w:p w:rsidR="00000000" w:rsidDel="00000000" w:rsidP="00000000" w:rsidRDefault="00000000" w:rsidRPr="00000000" w14:paraId="00000014">
      <w:pPr>
        <w:rPr/>
      </w:pPr>
      <w:r w:rsidDel="00000000" w:rsidR="00000000" w:rsidRPr="00000000">
        <w:rPr>
          <w:rtl w:val="0"/>
        </w:rPr>
        <w:t xml:space="preserve">Reporter knockins enable lineage tracing, cell sorting of expressing populations, and real time monitoring of gene expression in living animals.</w:t>
      </w:r>
    </w:p>
    <w:p w:rsidR="00000000" w:rsidDel="00000000" w:rsidP="00000000" w:rsidRDefault="00000000" w:rsidRPr="00000000" w14:paraId="00000015">
      <w:pPr>
        <w:rPr/>
      </w:pPr>
      <w:r w:rsidDel="00000000" w:rsidR="00000000" w:rsidRPr="00000000">
        <w:rPr>
          <w:rtl w:val="0"/>
        </w:rPr>
        <w:t xml:space="preserve">(/reporter-knockin)</w:t>
      </w:r>
    </w:p>
    <w:p w:rsidR="00000000" w:rsidDel="00000000" w:rsidP="00000000" w:rsidRDefault="00000000" w:rsidRPr="00000000" w14:paraId="00000016">
      <w:pPr>
        <w:pStyle w:val="Heading3"/>
        <w:rPr/>
      </w:pPr>
      <w:r w:rsidDel="00000000" w:rsidR="00000000" w:rsidRPr="00000000">
        <w:rPr>
          <w:rtl w:val="0"/>
        </w:rPr>
        <w:t xml:space="preserve">Tag Knockin</w:t>
      </w:r>
    </w:p>
    <w:p w:rsidR="00000000" w:rsidDel="00000000" w:rsidP="00000000" w:rsidRDefault="00000000" w:rsidRPr="00000000" w14:paraId="00000017">
      <w:pPr>
        <w:rPr/>
      </w:pPr>
      <w:r w:rsidDel="00000000" w:rsidR="00000000" w:rsidRPr="00000000">
        <w:rPr>
          <w:rtl w:val="0"/>
        </w:rPr>
        <w:t xml:space="preserve">Tag knockin models add epitope tags to endogenous proteins for biochemical detection, purification, or localization studies. Common tags include FLAG, HA, V5, and Myc. Tags can be positioned at the N terminus, C terminus, or internal locations depending on protein structure and experimental requirements.</w:t>
      </w:r>
    </w:p>
    <w:p w:rsidR="00000000" w:rsidDel="00000000" w:rsidP="00000000" w:rsidRDefault="00000000" w:rsidRPr="00000000" w14:paraId="00000018">
      <w:pPr>
        <w:rPr/>
      </w:pPr>
      <w:r w:rsidDel="00000000" w:rsidR="00000000" w:rsidRPr="00000000">
        <w:rPr>
          <w:rtl w:val="0"/>
        </w:rPr>
        <w:t xml:space="preserve">Because tagged proteins are expressed at physiological levels under native regulatory control, tag knockin models avoid overexpression artifacts common with transgenic approaches.</w:t>
      </w:r>
    </w:p>
    <w:p w:rsidR="00000000" w:rsidDel="00000000" w:rsidP="00000000" w:rsidRDefault="00000000" w:rsidRPr="00000000" w14:paraId="00000019">
      <w:pPr>
        <w:rPr/>
      </w:pPr>
      <w:r w:rsidDel="00000000" w:rsidR="00000000" w:rsidRPr="00000000">
        <w:rPr>
          <w:rtl w:val="0"/>
        </w:rPr>
        <w:t xml:space="preserve">(/tag-knockin-mice)</w:t>
      </w:r>
    </w:p>
    <w:p w:rsidR="00000000" w:rsidDel="00000000" w:rsidP="00000000" w:rsidRDefault="00000000" w:rsidRPr="00000000" w14:paraId="0000001A">
      <w:pPr>
        <w:pStyle w:val="Heading3"/>
        <w:rPr/>
      </w:pPr>
      <w:r w:rsidDel="00000000" w:rsidR="00000000" w:rsidRPr="00000000">
        <w:rPr>
          <w:rtl w:val="0"/>
        </w:rPr>
        <w:t xml:space="preserve">cDNA Knockin</w:t>
      </w:r>
    </w:p>
    <w:p w:rsidR="00000000" w:rsidDel="00000000" w:rsidP="00000000" w:rsidRDefault="00000000" w:rsidRPr="00000000" w14:paraId="0000001B">
      <w:pPr>
        <w:rPr/>
      </w:pPr>
      <w:r w:rsidDel="00000000" w:rsidR="00000000" w:rsidRPr="00000000">
        <w:rPr>
          <w:rtl w:val="0"/>
        </w:rPr>
        <w:t xml:space="preserve">cDNA knockin models replace the endogenous coding sequence with an alternative cDNA. Applications include humanization (replacing mouse gene with human ortholog), isoform specific expression, and introduction of modified or optimized coding sequences.</w:t>
      </w:r>
    </w:p>
    <w:p w:rsidR="00000000" w:rsidDel="00000000" w:rsidP="00000000" w:rsidRDefault="00000000" w:rsidRPr="00000000" w14:paraId="0000001C">
      <w:pPr>
        <w:rPr/>
      </w:pPr>
      <w:r w:rsidDel="00000000" w:rsidR="00000000" w:rsidRPr="00000000">
        <w:rPr>
          <w:rtl w:val="0"/>
        </w:rPr>
        <w:t xml:space="preserve">cDNA knockins maintain endogenous regulatory elements while providing complete control over the expressed protein sequence.</w:t>
      </w:r>
    </w:p>
    <w:p w:rsidR="00000000" w:rsidDel="00000000" w:rsidP="00000000" w:rsidRDefault="00000000" w:rsidRPr="00000000" w14:paraId="0000001D">
      <w:pPr>
        <w:rPr/>
      </w:pPr>
      <w:r w:rsidDel="00000000" w:rsidR="00000000" w:rsidRPr="00000000">
        <w:rPr>
          <w:rtl w:val="0"/>
        </w:rPr>
        <w:t xml:space="preserve">(/cdna-knockin)</w:t>
      </w:r>
    </w:p>
    <w:p w:rsidR="00000000" w:rsidDel="00000000" w:rsidP="00000000" w:rsidRDefault="00000000" w:rsidRPr="00000000" w14:paraId="0000001E">
      <w:pPr>
        <w:pStyle w:val="Heading3"/>
        <w:rPr/>
      </w:pPr>
      <w:r w:rsidDel="00000000" w:rsidR="00000000" w:rsidRPr="00000000">
        <w:rPr>
          <w:rtl w:val="0"/>
        </w:rPr>
        <w:t xml:space="preserve">Conditional Knockin</w:t>
      </w:r>
    </w:p>
    <w:p w:rsidR="00000000" w:rsidDel="00000000" w:rsidP="00000000" w:rsidRDefault="00000000" w:rsidRPr="00000000" w14:paraId="0000001F">
      <w:pPr>
        <w:rPr/>
      </w:pPr>
      <w:r w:rsidDel="00000000" w:rsidR="00000000" w:rsidRPr="00000000">
        <w:rPr>
          <w:rtl w:val="0"/>
        </w:rPr>
        <w:t xml:space="preserve">Conditional knockin models express modified alleles only after Cre mediated activation. A stop cassette flanked by loxP sites prevents expression until Cre excision. This approach enables tissue specific or temporally controlled expression of mutant alleles, reporters, or other modifications.</w:t>
      </w:r>
    </w:p>
    <w:p w:rsidR="00000000" w:rsidDel="00000000" w:rsidP="00000000" w:rsidRDefault="00000000" w:rsidRPr="00000000" w14:paraId="00000020">
      <w:pPr>
        <w:rPr/>
      </w:pPr>
      <w:r w:rsidDel="00000000" w:rsidR="00000000" w:rsidRPr="00000000">
        <w:rPr>
          <w:rtl w:val="0"/>
        </w:rPr>
        <w:t xml:space="preserve">Conditional knockins are particularly valuable for studying oncogenic mutations that would be lethal if expressed globally from conception.</w:t>
      </w:r>
    </w:p>
    <w:p w:rsidR="00000000" w:rsidDel="00000000" w:rsidP="00000000" w:rsidRDefault="00000000" w:rsidRPr="00000000" w14:paraId="00000021">
      <w:pPr>
        <w:pStyle w:val="Heading2"/>
        <w:rPr/>
      </w:pPr>
      <w:r w:rsidDel="00000000" w:rsidR="00000000" w:rsidRPr="00000000">
        <w:rPr>
          <w:rtl w:val="0"/>
        </w:rPr>
        <w:t xml:space="preserve">Technical Approach</w:t>
      </w:r>
    </w:p>
    <w:p w:rsidR="00000000" w:rsidDel="00000000" w:rsidP="00000000" w:rsidRDefault="00000000" w:rsidRPr="00000000" w14:paraId="00000022">
      <w:pPr>
        <w:pStyle w:val="Heading3"/>
        <w:rPr/>
      </w:pPr>
      <w:r w:rsidDel="00000000" w:rsidR="00000000" w:rsidRPr="00000000">
        <w:rPr>
          <w:rtl w:val="0"/>
        </w:rPr>
        <w:t xml:space="preserve">Allele Design</w:t>
      </w:r>
    </w:p>
    <w:p w:rsidR="00000000" w:rsidDel="00000000" w:rsidP="00000000" w:rsidRDefault="00000000" w:rsidRPr="00000000" w14:paraId="00000023">
      <w:pPr>
        <w:rPr/>
      </w:pPr>
      <w:r w:rsidDel="00000000" w:rsidR="00000000" w:rsidRPr="00000000">
        <w:rPr>
          <w:rtl w:val="0"/>
        </w:rPr>
        <w:t xml:space="preserve">Knockin allele design requires careful consideration of the modification site, surrounding sequence context, and potential effects on gene expression. Our scientific team analyzes: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Optimal insertion site for reporters and tags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Codon context for point mutations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site preservation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element maintenance</w:t>
      </w:r>
    </w:p>
    <w:p w:rsidR="00000000" w:rsidDel="00000000" w:rsidP="00000000" w:rsidRDefault="00000000" w:rsidRPr="00000000" w14:paraId="00000028">
      <w:pPr>
        <w:pStyle w:val="Heading2"/>
        <w:rPr/>
      </w:pPr>
      <w:r w:rsidDel="00000000" w:rsidR="00000000" w:rsidRPr="00000000">
        <w:rPr>
          <w:rtl w:val="0"/>
        </w:rPr>
        <w:t xml:space="preserve">When to Use Knockin Models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9">
            <w:pPr>
              <w:rPr/>
            </w:pPr>
            <w:r w:rsidDel="00000000" w:rsidR="00000000" w:rsidRPr="00000000">
              <w:rPr>
                <w:rtl w:val="0"/>
              </w:rPr>
              <w:t xml:space="preserve">Research Goal</w:t>
            </w:r>
          </w:p>
        </w:tc>
        <w:tc>
          <w:tcPr/>
          <w:p w:rsidR="00000000" w:rsidDel="00000000" w:rsidP="00000000" w:rsidRDefault="00000000" w:rsidRPr="00000000" w14:paraId="0000002A">
            <w:pPr>
              <w:rPr/>
            </w:pPr>
            <w:r w:rsidDel="00000000" w:rsidR="00000000" w:rsidRPr="00000000">
              <w:rPr>
                <w:rtl w:val="0"/>
              </w:rPr>
              <w:t xml:space="preserve">Knockin Approach</w:t>
            </w:r>
          </w:p>
        </w:tc>
        <w:tc>
          <w:tcPr/>
          <w:p w:rsidR="00000000" w:rsidDel="00000000" w:rsidP="00000000" w:rsidRDefault="00000000" w:rsidRPr="00000000" w14:paraId="0000002B">
            <w:pPr>
              <w:rPr/>
            </w:pPr>
            <w:r w:rsidDel="00000000" w:rsidR="00000000" w:rsidRPr="00000000">
              <w:rPr>
                <w:rtl w:val="0"/>
              </w:rPr>
              <w:t xml:space="preserve">Alternative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Model human disease mutation</w:t>
            </w:r>
          </w:p>
        </w:tc>
        <w:tc>
          <w:tcPr/>
          <w:p w:rsidR="00000000" w:rsidDel="00000000" w:rsidP="00000000" w:rsidRDefault="00000000" w:rsidRPr="00000000" w14:paraId="0000002D">
            <w:pPr>
              <w:rPr/>
            </w:pPr>
            <w:r w:rsidDel="00000000" w:rsidR="00000000" w:rsidRPr="00000000">
              <w:rPr>
                <w:rtl w:val="0"/>
              </w:rPr>
              <w:t xml:space="preserve">Point mutation knockin</w:t>
            </w:r>
          </w:p>
        </w:tc>
        <w:tc>
          <w:tcPr/>
          <w:p w:rsidR="00000000" w:rsidDel="00000000" w:rsidP="00000000" w:rsidRDefault="00000000" w:rsidRPr="00000000" w14:paraId="0000002E">
            <w:pPr>
              <w:rPr/>
            </w:pPr>
            <w:r w:rsidDel="00000000" w:rsidR="00000000" w:rsidRPr="00000000">
              <w:rPr>
                <w:rtl w:val="0"/>
              </w:rPr>
              <w:t xml:space="preserve">Transgenic (but loses native regulation)</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Visualize gene expression</w:t>
            </w:r>
          </w:p>
        </w:tc>
        <w:tc>
          <w:tcPr/>
          <w:p w:rsidR="00000000" w:rsidDel="00000000" w:rsidP="00000000" w:rsidRDefault="00000000" w:rsidRPr="00000000" w14:paraId="00000030">
            <w:pPr>
              <w:rPr/>
            </w:pPr>
            <w:r w:rsidDel="00000000" w:rsidR="00000000" w:rsidRPr="00000000">
              <w:rPr>
                <w:rtl w:val="0"/>
              </w:rPr>
              <w:t xml:space="preserve">Reporter knockin</w:t>
            </w:r>
          </w:p>
        </w:tc>
        <w:tc>
          <w:tcPr/>
          <w:p w:rsidR="00000000" w:rsidDel="00000000" w:rsidP="00000000" w:rsidRDefault="00000000" w:rsidRPr="00000000" w14:paraId="00000031">
            <w:pPr>
              <w:rPr/>
            </w:pPr>
            <w:r w:rsidDel="00000000" w:rsidR="00000000" w:rsidRPr="00000000">
              <w:rPr>
                <w:rtl w:val="0"/>
              </w:rPr>
              <w:t xml:space="preserve">Transgenic reporter (but random integration)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Track protein localization</w:t>
            </w:r>
          </w:p>
        </w:tc>
        <w:tc>
          <w:tcPr/>
          <w:p w:rsidR="00000000" w:rsidDel="00000000" w:rsidP="00000000" w:rsidRDefault="00000000" w:rsidRPr="00000000" w14:paraId="00000033">
            <w:pPr>
              <w:rPr/>
            </w:pPr>
            <w:r w:rsidDel="00000000" w:rsidR="00000000" w:rsidRPr="00000000">
              <w:rPr>
                <w:rtl w:val="0"/>
              </w:rPr>
              <w:t xml:space="preserve">Tag knockin</w:t>
            </w:r>
          </w:p>
        </w:tc>
        <w:tc>
          <w:tcPr/>
          <w:p w:rsidR="00000000" w:rsidDel="00000000" w:rsidP="00000000" w:rsidRDefault="00000000" w:rsidRPr="00000000" w14:paraId="00000034">
            <w:pPr>
              <w:rPr/>
            </w:pPr>
            <w:r w:rsidDel="00000000" w:rsidR="00000000" w:rsidRPr="00000000">
              <w:rPr>
                <w:rtl w:val="0"/>
              </w:rPr>
              <w:t xml:space="preserve">Antibody (but requires fixation)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Express human protein</w:t>
            </w:r>
          </w:p>
        </w:tc>
        <w:tc>
          <w:tcPr/>
          <w:p w:rsidR="00000000" w:rsidDel="00000000" w:rsidP="00000000" w:rsidRDefault="00000000" w:rsidRPr="00000000" w14:paraId="00000036">
            <w:pPr>
              <w:rPr/>
            </w:pPr>
            <w:r w:rsidDel="00000000" w:rsidR="00000000" w:rsidRPr="00000000">
              <w:rPr>
                <w:rtl w:val="0"/>
              </w:rPr>
              <w:t xml:space="preserve">cDNA knockin / Humanization</w:t>
            </w:r>
          </w:p>
        </w:tc>
        <w:tc>
          <w:tcPr/>
          <w:p w:rsidR="00000000" w:rsidDel="00000000" w:rsidP="00000000" w:rsidRDefault="00000000" w:rsidRPr="00000000" w14:paraId="00000037">
            <w:pPr>
              <w:rPr/>
            </w:pPr>
            <w:r w:rsidDel="00000000" w:rsidR="00000000" w:rsidRPr="00000000">
              <w:rPr>
                <w:rtl w:val="0"/>
              </w:rPr>
              <w:t xml:space="preserve">Transgenic (but overexpression artifacts)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Tissue specific mutant expression</w:t>
            </w:r>
          </w:p>
        </w:tc>
        <w:tc>
          <w:tcPr/>
          <w:p w:rsidR="00000000" w:rsidDel="00000000" w:rsidP="00000000" w:rsidRDefault="00000000" w:rsidRPr="00000000" w14:paraId="00000039">
            <w:pPr>
              <w:rPr/>
            </w:pPr>
            <w:r w:rsidDel="00000000" w:rsidR="00000000" w:rsidRPr="00000000">
              <w:rPr>
                <w:rtl w:val="0"/>
              </w:rPr>
              <w:t xml:space="preserve">Conditional knockin</w:t>
            </w:r>
          </w:p>
        </w:tc>
        <w:tc>
          <w:tcPr/>
          <w:p w:rsidR="00000000" w:rsidDel="00000000" w:rsidP="00000000" w:rsidRDefault="00000000" w:rsidRPr="00000000" w14:paraId="0000003A">
            <w:pPr>
              <w:rPr/>
            </w:pPr>
            <w:r w:rsidDel="00000000" w:rsidR="00000000" w:rsidRPr="00000000">
              <w:rPr>
                <w:rtl w:val="0"/>
              </w:rPr>
              <w:t xml:space="preserve">Viral delivery (but variable efficiency)</w:t>
            </w:r>
          </w:p>
        </w:tc>
      </w:tr>
    </w:tbl>
    <w:p w:rsidR="00000000" w:rsidDel="00000000" w:rsidP="00000000" w:rsidRDefault="00000000" w:rsidRPr="00000000" w14:paraId="0000003B">
      <w:pPr>
        <w:rPr/>
      </w:pPr>
      <w:r w:rsidDel="00000000" w:rsidR="00000000" w:rsidRPr="00000000">
        <w:rPr>
          <w:rtl w:val="0"/>
        </w:rPr>
        <w:t xml:space="preserve">Knockin models provide the most physiologically relevant approach when native gene regulation is important for the experimental question.</w:t>
      </w:r>
    </w:p>
    <w:p w:rsidR="00000000" w:rsidDel="00000000" w:rsidP="00000000" w:rsidRDefault="00000000" w:rsidRPr="00000000" w14:paraId="0000003C">
      <w:pPr>
        <w:pStyle w:val="Heading2"/>
        <w:rPr/>
      </w:pPr>
      <w:r w:rsidDel="00000000" w:rsidR="00000000" w:rsidRPr="00000000">
        <w:rPr>
          <w:rtl w:val="0"/>
        </w:rPr>
        <w:t xml:space="preserve">Selected Publications</w:t>
      </w:r>
    </w:p>
    <w:p w:rsidR="00000000" w:rsidDel="00000000" w:rsidP="00000000" w:rsidRDefault="00000000" w:rsidRPr="00000000" w14:paraId="0000003D">
      <w:pPr>
        <w:rPr/>
      </w:pPr>
      <w:r w:rsidDel="00000000" w:rsidR="00000000" w:rsidRPr="00000000">
        <w:rPr>
          <w:rtl w:val="0"/>
        </w:rPr>
        <w:t xml:space="preserve">Knockin models generated by Ingenious Targeting Laboratory:</w:t>
      </w:r>
    </w:p>
    <w:p w:rsidR="00000000" w:rsidDel="00000000" w:rsidP="00000000" w:rsidRDefault="00000000" w:rsidRPr="00000000" w14:paraId="0000003E">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Diamond EL, Emile JF, Fujino T, Haroche J, Maron MI, Lewis AM, Rahman J, Reiner AS, Bossert D, Rosenblum M, Yabe M, Petrova-Drus K, Francis JH, Rotemberg V, Rampal RK, Yoo S, Daniyan AF, Mahajan S, Hatzoglou V, Young R, Ulaner GA, Rösler W, Hershkovitz-Rokah O, Shpilberg O, Mazor RD, Chen LYC, Singer M, Cuibus MA, Weis K, Benbarche S, Zhang P, Fox N, Castro C, Tittley S, Witkowski M, Cohen-Aubart F, Terriou L, Hanoun M, Schleinitz N, Sosa G, Hautala T, De Lassus LF, Rosen N, Abdel-Wahab O, Durham BH. 2025. </w:t>
      </w:r>
      <w:hyperlink r:id="rId7">
        <w:r w:rsidDel="00000000" w:rsidR="00000000" w:rsidRPr="00000000">
          <w:rPr>
            <w:rFonts w:ascii="Arial" w:cs="Arial" w:eastAsia="Arial" w:hAnsi="Arial"/>
            <w:color w:val="1155cc"/>
            <w:sz w:val="20"/>
            <w:szCs w:val="20"/>
            <w:highlight w:val="white"/>
            <w:u w:val="single"/>
            <w:rtl w:val="0"/>
          </w:rPr>
          <w:t xml:space="preserve">RAF-independent MEK mutations drive refractory histiocytic neoplasms but respond to ERK inhibition</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Cancer Cell.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S1535-6108</w:t>
      </w:r>
      <w:r w:rsidDel="00000000" w:rsidR="00000000" w:rsidRPr="00000000">
        <w:rPr>
          <w:rFonts w:ascii="Arial" w:cs="Arial" w:eastAsia="Arial" w:hAnsi="Arial"/>
          <w:color w:val="212121"/>
          <w:sz w:val="20"/>
          <w:szCs w:val="20"/>
          <w:highlight w:val="white"/>
          <w:rtl w:val="0"/>
        </w:rPr>
        <w:t xml:space="preserve">(25): </w:t>
      </w:r>
      <w:r w:rsidDel="00000000" w:rsidR="00000000" w:rsidRPr="00000000">
        <w:rPr>
          <w:rFonts w:ascii="Arial" w:cs="Arial" w:eastAsia="Arial" w:hAnsi="Arial"/>
          <w:color w:val="212121"/>
          <w:sz w:val="20"/>
          <w:szCs w:val="20"/>
          <w:highlight w:val="white"/>
          <w:rtl w:val="0"/>
        </w:rPr>
        <w:t xml:space="preserve">00406-4</w:t>
      </w:r>
    </w:p>
    <w:p w:rsidR="00000000" w:rsidDel="00000000" w:rsidP="00000000" w:rsidRDefault="00000000" w:rsidRPr="00000000" w14:paraId="0000003F">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sz w:val="20"/>
          <w:szCs w:val="20"/>
        </w:rPr>
      </w:pPr>
      <w:r w:rsidDel="00000000" w:rsidR="00000000" w:rsidRPr="00000000">
        <w:rPr>
          <w:rFonts w:ascii="Arial" w:cs="Arial" w:eastAsia="Arial" w:hAnsi="Arial"/>
          <w:color w:val="212121"/>
          <w:sz w:val="20"/>
          <w:szCs w:val="20"/>
          <w:highlight w:val="white"/>
          <w:rtl w:val="0"/>
        </w:rPr>
        <w:t xml:space="preserve">Jiang Y, Sachdeva K, Goulbourne CN, Berg MJ, Peddy J, Stavrides PH, Pensalfini A, Pawlik M, Malampati S, Whyte L, Basavarajappa BS, Shivakumar S, Bleiwas C, Smiley JF, Mathews PM, Nixon RA. 2025. </w:t>
      </w:r>
      <w:hyperlink r:id="rId8">
        <w:r w:rsidDel="00000000" w:rsidR="00000000" w:rsidRPr="00000000">
          <w:rPr>
            <w:rFonts w:ascii="Arial" w:cs="Arial" w:eastAsia="Arial" w:hAnsi="Arial"/>
            <w:color w:val="1155cc"/>
            <w:sz w:val="20"/>
            <w:szCs w:val="20"/>
            <w:highlight w:val="white"/>
            <w:u w:val="single"/>
            <w:rtl w:val="0"/>
          </w:rPr>
          <w:t xml:space="preserve">Increased neuronal expression of the early endosomal adaptor APPL1 leads to endosomal and synaptic dysfunction with cholinergic neurodegeneration</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Neurosci</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29</w:t>
      </w:r>
      <w:r w:rsidDel="00000000" w:rsidR="00000000" w:rsidRPr="00000000">
        <w:rPr>
          <w:rFonts w:ascii="Arial" w:cs="Arial" w:eastAsia="Arial" w:hAnsi="Arial"/>
          <w:color w:val="212121"/>
          <w:sz w:val="20"/>
          <w:szCs w:val="20"/>
          <w:highlight w:val="white"/>
          <w:rtl w:val="0"/>
        </w:rPr>
        <w:t xml:space="preserve">(45): e2331242025.</w:t>
      </w:r>
      <w:r w:rsidDel="00000000" w:rsidR="00000000" w:rsidRPr="00000000">
        <w:rPr>
          <w:rtl w:val="0"/>
        </w:rPr>
      </w:r>
    </w:p>
    <w:p w:rsidR="00000000" w:rsidDel="00000000" w:rsidP="00000000" w:rsidRDefault="00000000" w:rsidRPr="00000000" w14:paraId="00000041">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42">
      <w:pPr>
        <w:spacing w:after="0" w:line="276" w:lineRule="auto"/>
        <w:rPr>
          <w:rFonts w:ascii="Arial" w:cs="Arial" w:eastAsia="Arial" w:hAnsi="Arial"/>
          <w:sz w:val="20"/>
          <w:szCs w:val="20"/>
        </w:rPr>
      </w:pPr>
      <w:r w:rsidDel="00000000" w:rsidR="00000000" w:rsidRPr="00000000">
        <w:rPr>
          <w:rFonts w:ascii="Arial" w:cs="Arial" w:eastAsia="Arial" w:hAnsi="Arial"/>
          <w:color w:val="212121"/>
          <w:sz w:val="20"/>
          <w:szCs w:val="20"/>
          <w:highlight w:val="white"/>
          <w:rtl w:val="0"/>
        </w:rPr>
        <w:t xml:space="preserve">Mohassel P, Hearn H, Rooney J, Zou Y, Johnson K, Norato G, Nalls MA, Yun P, Ogata T, Silverstein S, Sleboda DA, Roberts TJ, Rifkin DB, Bönnemann CG. 2025. </w:t>
      </w:r>
      <w:hyperlink r:id="rId9">
        <w:r w:rsidDel="00000000" w:rsidR="00000000" w:rsidRPr="00000000">
          <w:rPr>
            <w:rFonts w:ascii="Arial" w:cs="Arial" w:eastAsia="Arial" w:hAnsi="Arial"/>
            <w:color w:val="1155cc"/>
            <w:sz w:val="20"/>
            <w:szCs w:val="20"/>
            <w:highlight w:val="white"/>
            <w:u w:val="single"/>
            <w:rtl w:val="0"/>
          </w:rPr>
          <w:t xml:space="preserve">Collagen type VI regulates TGF-β bioavailability in skeletal muscle in mice</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Clin Invest.</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9</w:t>
      </w:r>
      <w:r w:rsidDel="00000000" w:rsidR="00000000" w:rsidRPr="00000000">
        <w:rPr>
          <w:rFonts w:ascii="Arial" w:cs="Arial" w:eastAsia="Arial" w:hAnsi="Arial"/>
          <w:color w:val="212121"/>
          <w:sz w:val="20"/>
          <w:szCs w:val="20"/>
          <w:highlight w:val="white"/>
          <w:rtl w:val="0"/>
        </w:rPr>
        <w:t xml:space="preserve">(135): e173354.</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(/publications)</w:t>
      </w:r>
    </w:p>
    <w:p w:rsidR="00000000" w:rsidDel="00000000" w:rsidP="00000000" w:rsidRDefault="00000000" w:rsidRPr="00000000" w14:paraId="00000045">
      <w:pPr>
        <w:pStyle w:val="Heading2"/>
        <w:rPr/>
      </w:pPr>
      <w:r w:rsidDel="00000000" w:rsidR="00000000" w:rsidRPr="00000000">
        <w:rPr>
          <w:rtl w:val="0"/>
        </w:rPr>
        <w:t xml:space="preserve">What Researchers Say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4B">
      <w:pPr>
        <w:rPr/>
      </w:pPr>
      <w:r w:rsidDel="00000000" w:rsidR="00000000" w:rsidRPr="00000000">
        <w:rPr>
          <w:rtl w:val="0"/>
        </w:rPr>
        <w:t xml:space="preserve">(/testimonials)</w:t>
      </w:r>
    </w:p>
    <w:p w:rsidR="00000000" w:rsidDel="00000000" w:rsidP="00000000" w:rsidRDefault="00000000" w:rsidRPr="00000000" w14:paraId="0000004C">
      <w:pPr>
        <w:pStyle w:val="Heading2"/>
        <w:rPr/>
      </w:pPr>
      <w:r w:rsidDel="00000000" w:rsidR="00000000" w:rsidRPr="00000000">
        <w:rPr>
          <w:rtl w:val="0"/>
        </w:rPr>
        <w:t xml:space="preserve">All Knockin Services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(/tag-knockin-mice)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(/cdna-knockin)</w:t>
      </w:r>
    </w:p>
    <w:p w:rsidR="00000000" w:rsidDel="00000000" w:rsidP="00000000" w:rsidRDefault="00000000" w:rsidRPr="00000000" w14:paraId="00000051">
      <w:pPr>
        <w:pStyle w:val="Heading2"/>
        <w:rPr/>
      </w:pPr>
      <w:r w:rsidDel="00000000" w:rsidR="00000000" w:rsidRPr="00000000">
        <w:rPr>
          <w:rtl w:val="0"/>
        </w:rPr>
        <w:t xml:space="preserve">Related Model Types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(/transgenic-mouse-service)</w:t>
      </w:r>
    </w:p>
    <w:p w:rsidR="00000000" w:rsidDel="00000000" w:rsidP="00000000" w:rsidRDefault="00000000" w:rsidRPr="00000000" w14:paraId="00000056">
      <w:pPr>
        <w:pStyle w:val="Heading2"/>
        <w:rPr/>
      </w:pPr>
      <w:r w:rsidDel="00000000" w:rsidR="00000000" w:rsidRPr="00000000">
        <w:rPr>
          <w:rtl w:val="0"/>
        </w:rPr>
        <w:t xml:space="preserve">Related Resources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5B">
      <w:pPr>
        <w:pStyle w:val="Heading2"/>
        <w:rPr/>
      </w:pPr>
      <w:r w:rsidDel="00000000" w:rsidR="00000000" w:rsidRPr="00000000">
        <w:rPr>
          <w:rtl w:val="0"/>
        </w:rPr>
        <w:t xml:space="preserve">Start Your Knockin Project</w:t>
      </w:r>
    </w:p>
    <w:p w:rsidR="00000000" w:rsidDel="00000000" w:rsidP="00000000" w:rsidRDefault="00000000" w:rsidRPr="00000000" w14:paraId="0000005C">
      <w:pPr>
        <w:rPr/>
      </w:pPr>
      <w:r w:rsidDel="00000000" w:rsidR="00000000" w:rsidRPr="00000000">
        <w:rPr>
          <w:rtl w:val="0"/>
        </w:rPr>
        <w:t xml:space="preserve">Our scientific consultants are ready to discuss your research requirements and recommend the optimal knockin strategy for your experimental goals. Initial consultation is provided at no charge and includes modification site analysis, allele design recommendations, and timeline estimates.</w:t>
      </w:r>
    </w:p>
    <w:p w:rsidR="00000000" w:rsidDel="00000000" w:rsidP="00000000" w:rsidRDefault="00000000" w:rsidRPr="00000000" w14:paraId="0000005D">
      <w:pPr>
        <w:rPr/>
      </w:pPr>
      <w:r w:rsidDel="00000000" w:rsidR="00000000" w:rsidRPr="00000000">
        <w:rPr>
          <w:rtl w:val="0"/>
        </w:rPr>
        <w:t xml:space="preserve">(/request-quote)</w:t>
      </w:r>
    </w:p>
    <w:p w:rsidR="00000000" w:rsidDel="00000000" w:rsidP="00000000" w:rsidRDefault="00000000" w:rsidRPr="00000000" w14:paraId="0000005E">
      <w:pPr>
        <w:rPr/>
      </w:pPr>
      <w:r w:rsidDel="00000000" w:rsidR="00000000" w:rsidRPr="00000000">
        <w:rPr>
          <w:rtl w:val="0"/>
        </w:rPr>
        <w:t xml:space="preserve">(/request-quote)</w:t>
      </w:r>
    </w:p>
    <w:p w:rsidR="00000000" w:rsidDel="00000000" w:rsidP="00000000" w:rsidRDefault="00000000" w:rsidRPr="00000000" w14:paraId="0000005F">
      <w:pPr>
        <w:pStyle w:val="Heading2"/>
        <w:rPr/>
      </w:pPr>
      <w:r w:rsidDel="00000000" w:rsidR="00000000" w:rsidRPr="00000000">
        <w:rPr>
          <w:rtl w:val="0"/>
        </w:rPr>
        <w:t xml:space="preserve">Frequently Asked Questions</w:t>
      </w:r>
    </w:p>
    <w:p w:rsidR="00000000" w:rsidDel="00000000" w:rsidP="00000000" w:rsidRDefault="00000000" w:rsidRPr="00000000" w14:paraId="00000060">
      <w:pPr>
        <w:rPr/>
      </w:pPr>
      <w:r w:rsidDel="00000000" w:rsidR="00000000" w:rsidRPr="00000000">
        <w:rPr>
          <w:b w:val="1"/>
          <w:bCs w:val="1"/>
          <w:rtl w:val="0"/>
        </w:rPr>
        <w:t xml:space="preserve">What is the difference between a knockin and a transgenic mouse?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knockin mouse has a precise modification at a specific genomic location, typically the endogenous gene locus. Expression is controlled by native regulatory elements. A transgenic mouse carries randomly integrated DNA that inserts at unpredictable locations, often in multiple copies. Knockins provide physiological expression levels; transgenics often overexpress.</w:t>
      </w:r>
    </w:p>
    <w:p w:rsidR="00000000" w:rsidDel="00000000" w:rsidP="00000000" w:rsidRDefault="00000000" w:rsidRPr="00000000" w14:paraId="00000062">
      <w:pPr>
        <w:rPr/>
      </w:pPr>
      <w:r w:rsidDel="00000000" w:rsidR="00000000" w:rsidRPr="00000000">
        <w:rPr>
          <w:b w:val="1"/>
          <w:bCs w:val="1"/>
          <w:rtl w:val="0"/>
        </w:rPr>
        <w:t xml:space="preserve">What reporter options are available for knockin models?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Common reporters include fluorescent proteins (GFP, EGFP, tdTomato, mCherry), enzymatic reporters (LacZ/beta-galactosidase), and bioluminescent reporters (luciferase). Reporter selection depends on your detection method, tissue of interest, and whether you need to combine with other fluorescent tools.</w:t>
      </w:r>
    </w:p>
    <w:p w:rsidR="00000000" w:rsidDel="00000000" w:rsidP="00000000" w:rsidRDefault="00000000" w:rsidRPr="00000000" w14:paraId="00000064">
      <w:pPr>
        <w:rPr/>
      </w:pPr>
      <w:r w:rsidDel="00000000" w:rsidR="00000000" w:rsidRPr="00000000">
        <w:rPr>
          <w:b w:val="1"/>
          <w:bCs w:val="1"/>
          <w:rtl w:val="0"/>
        </w:rPr>
        <w:t xml:space="preserve">How do I choose between N-terminal and C-terminal tag placement?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Tag placement depends on protein structure and function. N-terminal tags can interfere with signal peptides or membrane targeting. C-terminal tags avoid signal sequence issues but may affect protein interactions at the terminus. Contact us to discuss tag positioning.</w:t>
      </w:r>
    </w:p>
    <w:p w:rsidR="00000000" w:rsidDel="00000000" w:rsidP="00000000" w:rsidRDefault="00000000" w:rsidRPr="00000000" w14:paraId="00000066">
      <w:pPr>
        <w:rPr/>
      </w:pPr>
      <w:r w:rsidDel="00000000" w:rsidR="00000000" w:rsidRPr="00000000">
        <w:rPr>
          <w:b w:val="1"/>
          <w:bCs w:val="1"/>
          <w:rtl w:val="0"/>
        </w:rPr>
        <w:t xml:space="preserve">How long does it take to generate a knockin mouse model?</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Knockin projects typically require 6-10 months depending on complexity. Point mutations and small tags are faster. Large insertions require more time. Timelines include gene analysis, target design determination, material generation, injection, and breeding of F0s to obtain germline transmission mice.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30977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135521/" TargetMode="External"/><Relationship Id="rId8" Type="http://schemas.openxmlformats.org/officeDocument/2006/relationships/hyperlink" Target="https://pubmed.ncbi.nlm.nih.gov/393456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Aw5GQHEYoNfaCqyZIz7vlWWPA==">CgMxLjA4AHIhMVFBeERUS09TRjB5cE0ycGZCdXpMc2VqQ2pWeXZxd0py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