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IBD Mouse Models | Inflammatory Bowel Disease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/ibd-mouse-models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inflammatory bowel disease mouse models for gastrointestinal research. Study Crohn disease and ulcerative colitis mechanisms.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IBD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IBD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inflammatory bowel disease research with custom mouse models enabling mechanistic studies of intestinal inflammation, mucosal immunity, and therapeutic interventions for Crohn disease and ulcerative colitis.</w:t>
      </w:r>
    </w:p>
    <w:p w:rsidR="00000000" w:rsidDel="00000000" w:rsidP="00000000" w:rsidRDefault="00000000" w:rsidRPr="00000000" w14:paraId="0000000A">
      <w:pPr>
        <w:rPr/>
      </w:pPr>
      <w:r w:rsidDel="00000000" w:rsidR="00000000" w:rsidRPr="00000000">
        <w:rPr>
          <w:rtl w:val="0"/>
        </w:rPr>
        <w:t xml:space="preserve">IBD mouse models provide essential platforms for investigating the molecular pathways underlying chronic intestinal inflammation, testing hypotheses about epithelial barrier function and immune dysregulation, and developing therapies for millions of patients affected by these debilitating conditions.</w:t>
      </w:r>
    </w:p>
    <w:p w:rsidR="00000000" w:rsidDel="00000000" w:rsidP="00000000" w:rsidRDefault="00000000" w:rsidRPr="00000000" w14:paraId="0000000B">
      <w:pPr>
        <w:pStyle w:val="Heading2"/>
        <w:rPr/>
      </w:pPr>
      <w:r w:rsidDel="00000000" w:rsidR="00000000" w:rsidRPr="00000000">
        <w:rPr>
          <w:rtl w:val="0"/>
        </w:rPr>
        <w:t xml:space="preserve">Understanding Inflammatory Bowel Disease</w:t>
      </w:r>
    </w:p>
    <w:p w:rsidR="00000000" w:rsidDel="00000000" w:rsidP="00000000" w:rsidRDefault="00000000" w:rsidRPr="00000000" w14:paraId="0000000C">
      <w:pPr>
        <w:rPr/>
      </w:pPr>
      <w:r w:rsidDel="00000000" w:rsidR="00000000" w:rsidRPr="00000000">
        <w:rPr>
          <w:rtl w:val="0"/>
        </w:rPr>
        <w:t xml:space="preserve">Inflammatory bowel disease encompasses chronic inflammatory conditions of the gastrointestinal tract, primarily Crohn disease and ulcerative colitis. Mouse models enable controlled study of disease mechanisms in the complex intestinal environment.</w:t>
      </w:r>
    </w:p>
    <w:p w:rsidR="00000000" w:rsidDel="00000000" w:rsidP="00000000" w:rsidRDefault="00000000" w:rsidRPr="00000000" w14:paraId="0000000D">
      <w:pPr>
        <w:pStyle w:val="Heading3"/>
        <w:rPr/>
      </w:pPr>
      <w:r w:rsidDel="00000000" w:rsidR="00000000" w:rsidRPr="00000000">
        <w:rPr>
          <w:rtl w:val="0"/>
        </w:rPr>
        <w:t xml:space="preserve">Crohn Disease</w:t>
      </w:r>
    </w:p>
    <w:p w:rsidR="00000000" w:rsidDel="00000000" w:rsidP="00000000" w:rsidRDefault="00000000" w:rsidRPr="00000000" w14:paraId="0000000E">
      <w:pPr>
        <w:rPr/>
      </w:pPr>
      <w:r w:rsidDel="00000000" w:rsidR="00000000" w:rsidRPr="00000000">
        <w:rPr>
          <w:b w:val="1"/>
          <w:bCs w:val="1"/>
          <w:rtl w:val="0"/>
        </w:rPr>
        <w:t xml:space="preserve">Distribution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Can affect any part of the GI tract from mouth to anus, most commonly the terminal ileum and colon. Transmural inflammation with skip lesions.</w:t>
      </w:r>
    </w:p>
    <w:p w:rsidR="00000000" w:rsidDel="00000000" w:rsidP="00000000" w:rsidRDefault="00000000" w:rsidRPr="00000000" w14:paraId="00000010">
      <w:pPr>
        <w:rPr/>
      </w:pPr>
      <w:r w:rsidDel="00000000" w:rsidR="00000000" w:rsidRPr="00000000">
        <w:rPr>
          <w:b w:val="1"/>
          <w:bCs w:val="1"/>
          <w:rtl w:val="0"/>
        </w:rPr>
        <w:t xml:space="preserve">Pathology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Granulomatous inflammation, strictures, fistulae, and abscesses.</w:t>
      </w:r>
    </w:p>
    <w:p w:rsidR="00000000" w:rsidDel="00000000" w:rsidP="00000000" w:rsidRDefault="00000000" w:rsidRPr="00000000" w14:paraId="00000012">
      <w:pPr>
        <w:rPr/>
      </w:pPr>
      <w:r w:rsidDel="00000000" w:rsidR="00000000" w:rsidRPr="00000000">
        <w:rPr>
          <w:b w:val="1"/>
          <w:bCs w:val="1"/>
          <w:rtl w:val="0"/>
        </w:rPr>
        <w:t xml:space="preserve">Genetics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Associations with NOD2, ATG16L1, IRGM, IL23R, and many other genes affecting innate immunity, autophagy, and barrier function.</w:t>
      </w:r>
    </w:p>
    <w:p w:rsidR="00000000" w:rsidDel="00000000" w:rsidP="00000000" w:rsidRDefault="00000000" w:rsidRPr="00000000" w14:paraId="00000014">
      <w:pPr>
        <w:pStyle w:val="Heading3"/>
        <w:rPr/>
      </w:pPr>
      <w:r w:rsidDel="00000000" w:rsidR="00000000" w:rsidRPr="00000000">
        <w:rPr>
          <w:rtl w:val="0"/>
        </w:rPr>
        <w:t xml:space="preserve">Ulcerative Colitis</w:t>
      </w:r>
    </w:p>
    <w:p w:rsidR="00000000" w:rsidDel="00000000" w:rsidP="00000000" w:rsidRDefault="00000000" w:rsidRPr="00000000" w14:paraId="00000015">
      <w:pPr>
        <w:rPr/>
      </w:pPr>
      <w:r w:rsidDel="00000000" w:rsidR="00000000" w:rsidRPr="00000000">
        <w:rPr>
          <w:b w:val="1"/>
          <w:bCs w:val="1"/>
          <w:rtl w:val="0"/>
        </w:rPr>
        <w:t xml:space="preserve">Distribution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Limited to the colon and rectum. Continuous inflammation extending proximally from rectum.</w:t>
      </w:r>
    </w:p>
    <w:p w:rsidR="00000000" w:rsidDel="00000000" w:rsidP="00000000" w:rsidRDefault="00000000" w:rsidRPr="00000000" w14:paraId="00000017">
      <w:pPr>
        <w:rPr/>
      </w:pPr>
      <w:r w:rsidDel="00000000" w:rsidR="00000000" w:rsidRPr="00000000">
        <w:rPr>
          <w:b w:val="1"/>
          <w:bCs w:val="1"/>
          <w:rtl w:val="0"/>
        </w:rPr>
        <w:t xml:space="preserve">Pathology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Mucosal and submucosal inflammation with crypt abscesses and pseudopolyps.</w:t>
      </w:r>
    </w:p>
    <w:p w:rsidR="00000000" w:rsidDel="00000000" w:rsidP="00000000" w:rsidRDefault="00000000" w:rsidRPr="00000000" w14:paraId="00000019">
      <w:pPr>
        <w:rPr/>
      </w:pPr>
      <w:r w:rsidDel="00000000" w:rsidR="00000000" w:rsidRPr="00000000">
        <w:rPr>
          <w:b w:val="1"/>
          <w:bCs w:val="1"/>
          <w:rtl w:val="0"/>
        </w:rPr>
        <w:t xml:space="preserve">Genetics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Associations with HLA genes, IL10, IL23R, and genes affecting epithelial barrier function.</w:t>
      </w:r>
    </w:p>
    <w:p w:rsidR="00000000" w:rsidDel="00000000" w:rsidP="00000000" w:rsidRDefault="00000000" w:rsidRPr="00000000" w14:paraId="0000001B">
      <w:pPr>
        <w:pStyle w:val="Heading2"/>
        <w:rPr/>
      </w:pPr>
      <w:r w:rsidDel="00000000" w:rsidR="00000000" w:rsidRPr="00000000">
        <w:rPr>
          <w:rtl w:val="0"/>
        </w:rPr>
        <w:t xml:space="preserve">Spontaneous IBD Models</w:t>
      </w:r>
    </w:p>
    <w:p w:rsidR="00000000" w:rsidDel="00000000" w:rsidP="00000000" w:rsidRDefault="00000000" w:rsidRPr="00000000" w14:paraId="0000001C">
      <w:pPr>
        <w:pStyle w:val="Heading3"/>
        <w:rPr/>
      </w:pPr>
      <w:r w:rsidDel="00000000" w:rsidR="00000000" w:rsidRPr="00000000">
        <w:rPr>
          <w:rtl w:val="0"/>
        </w:rPr>
        <w:t xml:space="preserve">Genetic Models</w:t>
      </w:r>
    </w:p>
    <w:p w:rsidR="00000000" w:rsidDel="00000000" w:rsidP="00000000" w:rsidRDefault="00000000" w:rsidRPr="00000000" w14:paraId="0000001D">
      <w:pPr>
        <w:rPr/>
      </w:pPr>
      <w:r w:rsidDel="00000000" w:rsidR="00000000" w:rsidRPr="00000000">
        <w:rPr>
          <w:rtl w:val="0"/>
        </w:rPr>
        <w:t xml:space="preserve">Gene targeted mice that develop spontaneous intestinal inflammation:</w:t>
      </w:r>
    </w:p>
    <w:p w:rsidR="00000000" w:rsidDel="00000000" w:rsidP="00000000" w:rsidRDefault="00000000" w:rsidRPr="00000000" w14:paraId="0000001E">
      <w:pPr>
        <w:rPr/>
      </w:pPr>
      <w:r w:rsidDel="00000000" w:rsidR="00000000" w:rsidRPr="00000000">
        <w:rPr>
          <w:b w:val="1"/>
          <w:bCs w:val="1"/>
          <w:rtl w:val="0"/>
        </w:rPr>
        <w:t xml:space="preserve">IL10 Knockout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Develops spontaneous colitis dependent on intestinal microbiota. Widely used model showing importance of regulatory cytokines.</w:t>
      </w:r>
    </w:p>
    <w:p w:rsidR="00000000" w:rsidDel="00000000" w:rsidP="00000000" w:rsidRDefault="00000000" w:rsidRPr="00000000" w14:paraId="00000020">
      <w:pPr>
        <w:rPr/>
      </w:pPr>
      <w:r w:rsidDel="00000000" w:rsidR="00000000" w:rsidRPr="00000000">
        <w:rPr>
          <w:b w:val="1"/>
          <w:bCs w:val="1"/>
          <w:rtl w:val="0"/>
        </w:rPr>
        <w:t xml:space="preserve">IL2 Knockout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Autoimmune colitis with ulcerative colitis like features.</w:t>
      </w:r>
    </w:p>
    <w:p w:rsidR="00000000" w:rsidDel="00000000" w:rsidP="00000000" w:rsidRDefault="00000000" w:rsidRPr="00000000" w14:paraId="00000022">
      <w:pPr>
        <w:rPr/>
      </w:pPr>
      <w:r w:rsidDel="00000000" w:rsidR="00000000" w:rsidRPr="00000000">
        <w:rPr>
          <w:b w:val="1"/>
          <w:bCs w:val="1"/>
          <w:rtl w:val="0"/>
        </w:rPr>
        <w:t xml:space="preserve">TCR Alpha Knockout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Develops colitis due to lack of regulatory T cells.</w:t>
      </w:r>
    </w:p>
    <w:p w:rsidR="00000000" w:rsidDel="00000000" w:rsidP="00000000" w:rsidRDefault="00000000" w:rsidRPr="00000000" w14:paraId="00000024">
      <w:pPr>
        <w:rPr/>
      </w:pPr>
      <w:r w:rsidDel="00000000" w:rsidR="00000000" w:rsidRPr="00000000">
        <w:rPr>
          <w:b w:val="1"/>
          <w:bCs w:val="1"/>
          <w:rtl w:val="0"/>
        </w:rPr>
        <w:t xml:space="preserve">Gai2 Knockout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Develops ulcerative colitis like disease.</w:t>
      </w:r>
    </w:p>
    <w:p w:rsidR="00000000" w:rsidDel="00000000" w:rsidP="00000000" w:rsidRDefault="00000000" w:rsidRPr="00000000" w14:paraId="00000026">
      <w:pPr>
        <w:pStyle w:val="Heading3"/>
        <w:rPr/>
      </w:pPr>
      <w:r w:rsidDel="00000000" w:rsidR="00000000" w:rsidRPr="00000000">
        <w:rPr>
          <w:rtl w:val="0"/>
        </w:rPr>
        <w:t xml:space="preserve">NOD2 Models</w:t>
      </w:r>
    </w:p>
    <w:p w:rsidR="00000000" w:rsidDel="00000000" w:rsidP="00000000" w:rsidRDefault="00000000" w:rsidRPr="00000000" w14:paraId="00000027">
      <w:pPr>
        <w:rPr/>
      </w:pPr>
      <w:r w:rsidDel="00000000" w:rsidR="00000000" w:rsidRPr="00000000">
        <w:rPr>
          <w:rtl w:val="0"/>
        </w:rPr>
        <w:t xml:space="preserve">Crohn disease associated gene:</w:t>
      </w:r>
    </w:p>
    <w:p w:rsidR="00000000" w:rsidDel="00000000" w:rsidP="00000000" w:rsidRDefault="00000000" w:rsidRPr="00000000" w14:paraId="00000028">
      <w:pPr>
        <w:rPr/>
      </w:pPr>
      <w:r w:rsidDel="00000000" w:rsidR="00000000" w:rsidRPr="00000000">
        <w:rPr>
          <w:b w:val="1"/>
          <w:bCs w:val="1"/>
          <w:rtl w:val="0"/>
        </w:rPr>
        <w:t xml:space="preserve">NOD2 Knockout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Impaired innate immune responses to bacteria. May require additional triggers for colitis development.</w:t>
      </w:r>
    </w:p>
    <w:p w:rsidR="00000000" w:rsidDel="00000000" w:rsidP="00000000" w:rsidRDefault="00000000" w:rsidRPr="00000000" w14:paraId="0000002A">
      <w:pPr>
        <w:rPr/>
      </w:pPr>
      <w:r w:rsidDel="00000000" w:rsidR="00000000" w:rsidRPr="00000000">
        <w:rPr>
          <w:b w:val="1"/>
          <w:bCs w:val="1"/>
          <w:rtl w:val="0"/>
        </w:rPr>
        <w:t xml:space="preserve">NOD2 Knockin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Patient derived variants (R702W, G908R, L1007fs) model Crohn susceptibility.</w:t>
      </w:r>
    </w:p>
    <w:p w:rsidR="00000000" w:rsidDel="00000000" w:rsidP="00000000" w:rsidRDefault="00000000" w:rsidRPr="00000000" w14:paraId="0000002C">
      <w:pPr>
        <w:pStyle w:val="Heading3"/>
        <w:rPr/>
      </w:pPr>
      <w:r w:rsidDel="00000000" w:rsidR="00000000" w:rsidRPr="00000000">
        <w:rPr>
          <w:rtl w:val="0"/>
        </w:rPr>
        <w:t xml:space="preserve">Autophagy Gene Models</w:t>
      </w:r>
    </w:p>
    <w:p w:rsidR="00000000" w:rsidDel="00000000" w:rsidP="00000000" w:rsidRDefault="00000000" w:rsidRPr="00000000" w14:paraId="0000002D">
      <w:pPr>
        <w:rPr/>
      </w:pPr>
      <w:r w:rsidDel="00000000" w:rsidR="00000000" w:rsidRPr="00000000">
        <w:rPr>
          <w:b w:val="1"/>
          <w:bCs w:val="1"/>
          <w:rtl w:val="0"/>
        </w:rPr>
        <w:t xml:space="preserve">ATG16L1 Hypomorph</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Reduced ATG16L1 causes Paneth cell abnormalities resembling Crohn disease.</w:t>
      </w:r>
    </w:p>
    <w:p w:rsidR="00000000" w:rsidDel="00000000" w:rsidP="00000000" w:rsidRDefault="00000000" w:rsidRPr="00000000" w14:paraId="0000002F">
      <w:pPr>
        <w:rPr/>
      </w:pPr>
      <w:r w:rsidDel="00000000" w:rsidR="00000000" w:rsidRPr="00000000">
        <w:rPr>
          <w:b w:val="1"/>
          <w:bCs w:val="1"/>
          <w:rtl w:val="0"/>
        </w:rPr>
        <w:t xml:space="preserve">IRGM Knockout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Impaired autophagy of intracellular bacteria.</w:t>
      </w:r>
    </w:p>
    <w:p w:rsidR="00000000" w:rsidDel="00000000" w:rsidP="00000000" w:rsidRDefault="00000000" w:rsidRPr="00000000" w14:paraId="00000031">
      <w:pPr>
        <w:pStyle w:val="Heading2"/>
        <w:rPr/>
      </w:pPr>
      <w:r w:rsidDel="00000000" w:rsidR="00000000" w:rsidRPr="00000000">
        <w:rPr>
          <w:rtl w:val="0"/>
        </w:rPr>
        <w:t xml:space="preserve">Induced Colitis Models</w:t>
      </w:r>
    </w:p>
    <w:p w:rsidR="00000000" w:rsidDel="00000000" w:rsidP="00000000" w:rsidRDefault="00000000" w:rsidRPr="00000000" w14:paraId="00000032">
      <w:pPr>
        <w:pStyle w:val="Heading3"/>
        <w:rPr/>
      </w:pPr>
      <w:r w:rsidDel="00000000" w:rsidR="00000000" w:rsidRPr="00000000">
        <w:rPr>
          <w:rtl w:val="0"/>
        </w:rPr>
        <w:t xml:space="preserve">Chemical Induction</w:t>
      </w:r>
    </w:p>
    <w:p w:rsidR="00000000" w:rsidDel="00000000" w:rsidP="00000000" w:rsidRDefault="00000000" w:rsidRPr="00000000" w14:paraId="00000033">
      <w:pPr>
        <w:rPr/>
      </w:pPr>
      <w:r w:rsidDel="00000000" w:rsidR="00000000" w:rsidRPr="00000000">
        <w:rPr>
          <w:b w:val="1"/>
          <w:bCs w:val="1"/>
          <w:rtl w:val="0"/>
        </w:rPr>
        <w:t xml:space="preserve">DSS (Dextran Sulfate Sodium)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Oral DSS damages epithelial barrier, causing acute colitis. Cycles of DSS produce chronic colitis. Simple, reproducible model.</w:t>
      </w:r>
    </w:p>
    <w:p w:rsidR="00000000" w:rsidDel="00000000" w:rsidP="00000000" w:rsidRDefault="00000000" w:rsidRPr="00000000" w14:paraId="00000035">
      <w:pPr>
        <w:rPr/>
      </w:pPr>
      <w:r w:rsidDel="00000000" w:rsidR="00000000" w:rsidRPr="00000000">
        <w:rPr>
          <w:b w:val="1"/>
          <w:bCs w:val="1"/>
          <w:rtl w:val="0"/>
        </w:rPr>
        <w:t xml:space="preserve">TNBS (Trinitrobenzene Sulfonic Acid)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Rectal administration of TNBS in ethanol causes transmural inflammation resembling Crohn disease.</w:t>
      </w:r>
    </w:p>
    <w:p w:rsidR="00000000" w:rsidDel="00000000" w:rsidP="00000000" w:rsidRDefault="00000000" w:rsidRPr="00000000" w14:paraId="00000037">
      <w:pPr>
        <w:rPr/>
      </w:pPr>
      <w:r w:rsidDel="00000000" w:rsidR="00000000" w:rsidRPr="00000000">
        <w:rPr>
          <w:b w:val="1"/>
          <w:bCs w:val="1"/>
          <w:rtl w:val="0"/>
        </w:rPr>
        <w:t xml:space="preserve">Oxazolone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Produces Th2 mediated colitis resembling ulcerative colitis.</w:t>
      </w:r>
    </w:p>
    <w:p w:rsidR="00000000" w:rsidDel="00000000" w:rsidP="00000000" w:rsidRDefault="00000000" w:rsidRPr="00000000" w14:paraId="00000039">
      <w:pPr>
        <w:pStyle w:val="Heading3"/>
        <w:rPr/>
      </w:pPr>
      <w:r w:rsidDel="00000000" w:rsidR="00000000" w:rsidRPr="00000000">
        <w:rPr>
          <w:rtl w:val="0"/>
        </w:rPr>
        <w:t xml:space="preserve">T Cell Transfer Model</w:t>
      </w:r>
    </w:p>
    <w:p w:rsidR="00000000" w:rsidDel="00000000" w:rsidP="00000000" w:rsidRDefault="00000000" w:rsidRPr="00000000" w14:paraId="0000003A">
      <w:pPr>
        <w:rPr/>
      </w:pPr>
      <w:r w:rsidDel="00000000" w:rsidR="00000000" w:rsidRPr="00000000">
        <w:rPr>
          <w:b w:val="1"/>
          <w:bCs w:val="1"/>
          <w:rtl w:val="0"/>
        </w:rPr>
        <w:t xml:space="preserve">CD45RBhigh T Cell Transfer</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Transfer of naive CD4+ T cells into immunodeficient recipients causes chronic colitis. Models T cell mediated inflammation.</w:t>
      </w:r>
    </w:p>
    <w:p w:rsidR="00000000" w:rsidDel="00000000" w:rsidP="00000000" w:rsidRDefault="00000000" w:rsidRPr="00000000" w14:paraId="0000003C">
      <w:pPr>
        <w:rPr/>
      </w:pPr>
      <w:r w:rsidDel="00000000" w:rsidR="00000000" w:rsidRPr="00000000">
        <w:rPr>
          <w:b w:val="1"/>
          <w:bCs w:val="1"/>
          <w:rtl w:val="0"/>
        </w:rPr>
        <w:t xml:space="preserve">Regulatory T Cell Suppression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 transfer of Tregs prevents disease, demonstrating regulatory mechanisms.</w:t>
      </w:r>
    </w:p>
    <w:p w:rsidR="00000000" w:rsidDel="00000000" w:rsidP="00000000" w:rsidRDefault="00000000" w:rsidRPr="00000000" w14:paraId="0000003E">
      <w:pPr>
        <w:pStyle w:val="Heading3"/>
        <w:rPr/>
      </w:pPr>
      <w:r w:rsidDel="00000000" w:rsidR="00000000" w:rsidRPr="00000000">
        <w:rPr>
          <w:rtl w:val="0"/>
        </w:rPr>
        <w:t xml:space="preserve">Infectious Models</w:t>
      </w:r>
    </w:p>
    <w:p w:rsidR="00000000" w:rsidDel="00000000" w:rsidP="00000000" w:rsidRDefault="00000000" w:rsidRPr="00000000" w14:paraId="0000003F">
      <w:pPr>
        <w:rPr/>
      </w:pPr>
      <w:r w:rsidDel="00000000" w:rsidR="00000000" w:rsidRPr="00000000">
        <w:rPr>
          <w:b w:val="1"/>
          <w:bCs w:val="1"/>
          <w:rtl w:val="0"/>
        </w:rPr>
        <w:t xml:space="preserve">Citrobacter rodentium</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Attaching/effacing bacterial pathogen causes colitis. Models infectious triggers of IBD.</w:t>
      </w:r>
    </w:p>
    <w:p w:rsidR="00000000" w:rsidDel="00000000" w:rsidP="00000000" w:rsidRDefault="00000000" w:rsidRPr="00000000" w14:paraId="00000041">
      <w:pPr>
        <w:rPr/>
      </w:pPr>
      <w:r w:rsidDel="00000000" w:rsidR="00000000" w:rsidRPr="00000000">
        <w:rPr>
          <w:b w:val="1"/>
          <w:bCs w:val="1"/>
          <w:rtl w:val="0"/>
        </w:rPr>
        <w:t xml:space="preserve">Helicobacter hepaticus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combination with immune deficiency, causes chronic colitis.</w:t>
      </w:r>
    </w:p>
    <w:p w:rsidR="00000000" w:rsidDel="00000000" w:rsidP="00000000" w:rsidRDefault="00000000" w:rsidRPr="00000000" w14:paraId="00000043">
      <w:pPr>
        <w:pStyle w:val="Heading2"/>
        <w:rPr/>
      </w:pPr>
      <w:r w:rsidDel="00000000" w:rsidR="00000000" w:rsidRPr="00000000">
        <w:rPr>
          <w:rtl w:val="0"/>
        </w:rPr>
        <w:t xml:space="preserve">Barrier Function Models</w:t>
      </w:r>
    </w:p>
    <w:p w:rsidR="00000000" w:rsidDel="00000000" w:rsidP="00000000" w:rsidRDefault="00000000" w:rsidRPr="00000000" w14:paraId="00000044">
      <w:pPr>
        <w:pStyle w:val="Heading3"/>
        <w:rPr/>
      </w:pPr>
      <w:r w:rsidDel="00000000" w:rsidR="00000000" w:rsidRPr="00000000">
        <w:rPr>
          <w:rtl w:val="0"/>
        </w:rPr>
        <w:t xml:space="preserve">Epithelial Genes</w:t>
      </w:r>
    </w:p>
    <w:p w:rsidR="00000000" w:rsidDel="00000000" w:rsidP="00000000" w:rsidRDefault="00000000" w:rsidRPr="00000000" w14:paraId="00000045">
      <w:pPr>
        <w:rPr/>
      </w:pPr>
      <w:r w:rsidDel="00000000" w:rsidR="00000000" w:rsidRPr="00000000">
        <w:rPr>
          <w:b w:val="1"/>
          <w:bCs w:val="1"/>
          <w:rtl w:val="0"/>
        </w:rPr>
        <w:t xml:space="preserve">Villin Cre Specific Knockouts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Intestinal epithelium specific deletion of genes affecting barrier function.</w:t>
      </w:r>
    </w:p>
    <w:p w:rsidR="00000000" w:rsidDel="00000000" w:rsidP="00000000" w:rsidRDefault="00000000" w:rsidRPr="00000000" w14:paraId="00000047">
      <w:pPr>
        <w:rPr/>
      </w:pPr>
      <w:r w:rsidDel="00000000" w:rsidR="00000000" w:rsidRPr="00000000">
        <w:rPr>
          <w:b w:val="1"/>
          <w:bCs w:val="1"/>
          <w:rtl w:val="0"/>
        </w:rPr>
        <w:t xml:space="preserve">Claudin Knockouts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Tight junction protein deficiency increases intestinal permeability.</w:t>
      </w:r>
    </w:p>
    <w:p w:rsidR="00000000" w:rsidDel="00000000" w:rsidP="00000000" w:rsidRDefault="00000000" w:rsidRPr="00000000" w14:paraId="00000049">
      <w:pPr>
        <w:rPr/>
      </w:pPr>
      <w:r w:rsidDel="00000000" w:rsidR="00000000" w:rsidRPr="00000000">
        <w:rPr>
          <w:b w:val="1"/>
          <w:bCs w:val="1"/>
          <w:rtl w:val="0"/>
        </w:rPr>
        <w:t xml:space="preserve">MUC2 Knockout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Mucin deficiency exposes epithelium to bacteria, causing spontaneous colitis.</w:t>
      </w:r>
    </w:p>
    <w:p w:rsidR="00000000" w:rsidDel="00000000" w:rsidP="00000000" w:rsidRDefault="00000000" w:rsidRPr="00000000" w14:paraId="0000004B">
      <w:pPr>
        <w:pStyle w:val="Heading3"/>
        <w:rPr/>
      </w:pPr>
      <w:r w:rsidDel="00000000" w:rsidR="00000000" w:rsidRPr="00000000">
        <w:rPr>
          <w:rtl w:val="0"/>
        </w:rPr>
        <w:t xml:space="preserve">Paneth Cell Function</w:t>
      </w:r>
    </w:p>
    <w:p w:rsidR="00000000" w:rsidDel="00000000" w:rsidP="00000000" w:rsidRDefault="00000000" w:rsidRPr="00000000" w14:paraId="0000004C">
      <w:pPr>
        <w:rPr/>
      </w:pPr>
      <w:r w:rsidDel="00000000" w:rsidR="00000000" w:rsidRPr="00000000">
        <w:rPr>
          <w:b w:val="1"/>
          <w:bCs w:val="1"/>
          <w:rtl w:val="0"/>
        </w:rPr>
        <w:t xml:space="preserve">ATG16L1 Hypomorph</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Paneth cell granule abnormalities.</w:t>
      </w:r>
    </w:p>
    <w:p w:rsidR="00000000" w:rsidDel="00000000" w:rsidP="00000000" w:rsidRDefault="00000000" w:rsidRPr="00000000" w14:paraId="0000004E">
      <w:pPr>
        <w:rPr/>
      </w:pPr>
      <w:r w:rsidDel="00000000" w:rsidR="00000000" w:rsidRPr="00000000">
        <w:rPr>
          <w:b w:val="1"/>
          <w:bCs w:val="1"/>
          <w:rtl w:val="0"/>
        </w:rPr>
        <w:t xml:space="preserve">XBP1 Conditional Knockout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ER stress in intestinal epithelium causes inflammation.</w:t>
      </w:r>
    </w:p>
    <w:p w:rsidR="00000000" w:rsidDel="00000000" w:rsidP="00000000" w:rsidRDefault="00000000" w:rsidRPr="00000000" w14:paraId="00000050">
      <w:pPr>
        <w:pStyle w:val="Heading2"/>
        <w:rPr/>
      </w:pPr>
      <w:r w:rsidDel="00000000" w:rsidR="00000000" w:rsidRPr="00000000">
        <w:rPr>
          <w:rtl w:val="0"/>
        </w:rPr>
        <w:t xml:space="preserve">Model Design Considerations</w:t>
      </w:r>
    </w:p>
    <w:p w:rsidR="00000000" w:rsidDel="00000000" w:rsidP="00000000" w:rsidRDefault="00000000" w:rsidRPr="00000000" w14:paraId="00000051">
      <w:pPr>
        <w:pStyle w:val="Heading3"/>
        <w:rPr/>
      </w:pPr>
      <w:r w:rsidDel="00000000" w:rsidR="00000000" w:rsidRPr="00000000">
        <w:rPr>
          <w:rtl w:val="0"/>
        </w:rPr>
        <w:t xml:space="preserve">Microbiota Dependence</w:t>
      </w:r>
    </w:p>
    <w:p w:rsidR="00000000" w:rsidDel="00000000" w:rsidP="00000000" w:rsidRDefault="00000000" w:rsidRPr="00000000" w14:paraId="00000052">
      <w:pPr>
        <w:rPr/>
      </w:pPr>
      <w:r w:rsidDel="00000000" w:rsidR="00000000" w:rsidRPr="00000000">
        <w:rPr>
          <w:rtl w:val="0"/>
        </w:rPr>
        <w:t xml:space="preserve">Many IBD models require intestinal bacteria:</w:t>
      </w:r>
    </w:p>
    <w:p w:rsidR="00000000" w:rsidDel="00000000" w:rsidP="00000000" w:rsidRDefault="00000000" w:rsidRPr="00000000" w14:paraId="00000053">
      <w:pPr>
        <w:rPr/>
      </w:pPr>
      <w:r w:rsidDel="00000000" w:rsidR="00000000" w:rsidRPr="00000000">
        <w:rPr>
          <w:b w:val="1"/>
          <w:bCs w:val="1"/>
          <w:rtl w:val="0"/>
        </w:rPr>
        <w:t xml:space="preserve">Germ Free Conditions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IL10 knockout and other models do not develop colitis when germ free.</w:t>
      </w:r>
    </w:p>
    <w:p w:rsidR="00000000" w:rsidDel="00000000" w:rsidP="00000000" w:rsidRDefault="00000000" w:rsidRPr="00000000" w14:paraId="00000055">
      <w:pPr>
        <w:rPr/>
      </w:pPr>
      <w:r w:rsidDel="00000000" w:rsidR="00000000" w:rsidRPr="00000000">
        <w:rPr>
          <w:b w:val="1"/>
          <w:bCs w:val="1"/>
          <w:rtl w:val="0"/>
        </w:rPr>
        <w:t xml:space="preserve">Specific Pathogen Free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Standard housing conditions allow disease development.</w:t>
      </w:r>
    </w:p>
    <w:p w:rsidR="00000000" w:rsidDel="00000000" w:rsidP="00000000" w:rsidRDefault="00000000" w:rsidRPr="00000000" w14:paraId="00000057">
      <w:pPr>
        <w:rPr/>
      </w:pPr>
      <w:r w:rsidDel="00000000" w:rsidR="00000000" w:rsidRPr="00000000">
        <w:rPr>
          <w:b w:val="1"/>
          <w:bCs w:val="1"/>
          <w:rtl w:val="0"/>
        </w:rPr>
        <w:t xml:space="preserve">Defined Microbiota</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Gnotobiotic approaches enable controlled microbiome studies.</w:t>
      </w:r>
    </w:p>
    <w:p w:rsidR="00000000" w:rsidDel="00000000" w:rsidP="00000000" w:rsidRDefault="00000000" w:rsidRPr="00000000" w14:paraId="00000059">
      <w:pPr>
        <w:pStyle w:val="Heading3"/>
        <w:rPr/>
      </w:pPr>
      <w:r w:rsidDel="00000000" w:rsidR="00000000" w:rsidRPr="00000000">
        <w:rPr>
          <w:rtl w:val="0"/>
        </w:rPr>
        <w:t xml:space="preserve">Background Strain Effects</w:t>
      </w:r>
    </w:p>
    <w:p w:rsidR="00000000" w:rsidDel="00000000" w:rsidP="00000000" w:rsidRDefault="00000000" w:rsidRPr="00000000" w14:paraId="0000005A">
      <w:pPr>
        <w:rPr/>
      </w:pPr>
      <w:r w:rsidDel="00000000" w:rsidR="00000000" w:rsidRPr="00000000">
        <w:rPr>
          <w:rtl w:val="0"/>
        </w:rPr>
        <w:t xml:space="preserve">IBD phenotypes vary dramatically with genetic background:</w:t>
      </w:r>
    </w:p>
    <w:p w:rsidR="00000000" w:rsidDel="00000000" w:rsidP="00000000" w:rsidRDefault="00000000" w:rsidRPr="00000000" w14:paraId="0000005B">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Th1 biased responses. Standard background for many models.</w:t>
      </w:r>
    </w:p>
    <w:p w:rsidR="00000000" w:rsidDel="00000000" w:rsidP="00000000" w:rsidRDefault="00000000" w:rsidRPr="00000000" w14:paraId="0000005D">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Th2 biased responses. Different disease characteristics.</w:t>
      </w:r>
    </w:p>
    <w:p w:rsidR="00000000" w:rsidDel="00000000" w:rsidP="00000000" w:rsidRDefault="00000000" w:rsidRPr="00000000" w14:paraId="0000005F">
      <w:pPr>
        <w:rPr/>
      </w:pPr>
      <w:r w:rsidDel="00000000" w:rsidR="00000000" w:rsidRPr="00000000">
        <w:rPr>
          <w:b w:val="1"/>
          <w:bCs w:val="1"/>
          <w:rtl w:val="0"/>
        </w:rPr>
        <w:t xml:space="preserve">129 Strains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Some models more or less severe depending on background.</w:t>
      </w:r>
    </w:p>
    <w:p w:rsidR="00000000" w:rsidDel="00000000" w:rsidP="00000000" w:rsidRDefault="00000000" w:rsidRPr="00000000" w14:paraId="00000061">
      <w:pPr>
        <w:rPr/>
      </w:pPr>
      <w:r w:rsidDel="00000000" w:rsidR="00000000" w:rsidRPr="00000000">
        <w:rPr>
          <w:rtl w:val="0"/>
        </w:rPr>
        <w:t xml:space="preserve">(/c57bl6-mouse-background)</w:t>
      </w:r>
    </w:p>
    <w:p w:rsidR="00000000" w:rsidDel="00000000" w:rsidP="00000000" w:rsidRDefault="00000000" w:rsidRPr="00000000" w14:paraId="00000062">
      <w:pPr>
        <w:pStyle w:val="Heading3"/>
        <w:rPr/>
      </w:pPr>
      <w:r w:rsidDel="00000000" w:rsidR="00000000" w:rsidRPr="00000000">
        <w:rPr>
          <w:rtl w:val="0"/>
        </w:rPr>
        <w:t xml:space="preserve">Conditional Approaches</w:t>
      </w:r>
    </w:p>
    <w:p w:rsidR="00000000" w:rsidDel="00000000" w:rsidP="00000000" w:rsidRDefault="00000000" w:rsidRPr="00000000" w14:paraId="00000063">
      <w:pPr>
        <w:rPr/>
      </w:pPr>
      <w:r w:rsidDel="00000000" w:rsidR="00000000" w:rsidRPr="00000000">
        <w:rPr>
          <w:rtl w:val="0"/>
        </w:rPr>
        <w:t xml:space="preserve">Distinguish cell type specific contributions:</w:t>
      </w:r>
    </w:p>
    <w:p w:rsidR="00000000" w:rsidDel="00000000" w:rsidP="00000000" w:rsidRDefault="00000000" w:rsidRPr="00000000" w14:paraId="00000064">
      <w:pPr>
        <w:rPr/>
      </w:pPr>
      <w:r w:rsidDel="00000000" w:rsidR="00000000" w:rsidRPr="00000000">
        <w:rPr>
          <w:b w:val="1"/>
          <w:bCs w:val="1"/>
          <w:rtl w:val="0"/>
        </w:rPr>
        <w:t xml:space="preserve">Epithelial</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Villin Cre targets intestinal epithelium.</w:t>
      </w:r>
    </w:p>
    <w:p w:rsidR="00000000" w:rsidDel="00000000" w:rsidP="00000000" w:rsidRDefault="00000000" w:rsidRPr="00000000" w14:paraId="00000066">
      <w:pPr>
        <w:rPr/>
      </w:pPr>
      <w:r w:rsidDel="00000000" w:rsidR="00000000" w:rsidRPr="00000000">
        <w:rPr>
          <w:b w:val="1"/>
          <w:bCs w:val="1"/>
          <w:rtl w:val="0"/>
        </w:rPr>
        <w:t xml:space="preserve">Myeloid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LysM Cre targets macrophages and neutrophils.</w:t>
      </w:r>
    </w:p>
    <w:p w:rsidR="00000000" w:rsidDel="00000000" w:rsidP="00000000" w:rsidRDefault="00000000" w:rsidRPr="00000000" w14:paraId="00000068">
      <w:pPr>
        <w:rPr/>
      </w:pPr>
      <w:r w:rsidDel="00000000" w:rsidR="00000000" w:rsidRPr="00000000">
        <w:rPr>
          <w:b w:val="1"/>
          <w:bCs w:val="1"/>
          <w:rtl w:val="0"/>
        </w:rPr>
        <w:t xml:space="preserve">T Cell</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CD4 Cre targets T lymphocytes.</w:t>
      </w:r>
    </w:p>
    <w:p w:rsidR="00000000" w:rsidDel="00000000" w:rsidP="00000000" w:rsidRDefault="00000000" w:rsidRPr="00000000" w14:paraId="0000006A">
      <w:pPr>
        <w:rPr/>
      </w:pPr>
      <w:r w:rsidDel="00000000" w:rsidR="00000000" w:rsidRPr="00000000">
        <w:rPr>
          <w:b w:val="1"/>
          <w:bCs w:val="1"/>
          <w:rtl w:val="0"/>
        </w:rPr>
        <w:t xml:space="preserve">Dendritic Cell</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CD11c Cre targets antigen presenting cells.</w:t>
      </w:r>
    </w:p>
    <w:p w:rsidR="00000000" w:rsidDel="00000000" w:rsidP="00000000" w:rsidRDefault="00000000" w:rsidRPr="00000000" w14:paraId="0000006C">
      <w:pPr>
        <w:rPr/>
      </w:pPr>
      <w:r w:rsidDel="00000000" w:rsidR="00000000" w:rsidRPr="00000000">
        <w:rPr>
          <w:rtl w:val="0"/>
        </w:rPr>
        <w:t xml:space="preserve">(/conditional-knockout-mouse-models)</w:t>
      </w:r>
    </w:p>
    <w:p w:rsidR="00000000" w:rsidDel="00000000" w:rsidP="00000000" w:rsidRDefault="00000000" w:rsidRPr="00000000" w14:paraId="0000006D">
      <w:pPr>
        <w:pStyle w:val="Heading2"/>
        <w:rPr/>
      </w:pPr>
      <w:r w:rsidDel="00000000" w:rsidR="00000000" w:rsidRPr="00000000">
        <w:rPr>
          <w:rtl w:val="0"/>
        </w:rPr>
        <w:t xml:space="preserve">Phenotyping IBD Models</w:t>
      </w:r>
    </w:p>
    <w:p w:rsidR="00000000" w:rsidDel="00000000" w:rsidP="00000000" w:rsidRDefault="00000000" w:rsidRPr="00000000" w14:paraId="0000006E">
      <w:pPr>
        <w:pStyle w:val="Heading3"/>
        <w:rPr/>
      </w:pPr>
      <w:r w:rsidDel="00000000" w:rsidR="00000000" w:rsidRPr="00000000">
        <w:rPr>
          <w:rtl w:val="0"/>
        </w:rPr>
        <w:t xml:space="preserve">Clinical Assessment</w:t>
      </w:r>
    </w:p>
    <w:p w:rsidR="00000000" w:rsidDel="00000000" w:rsidP="00000000" w:rsidRDefault="00000000" w:rsidRPr="00000000" w14:paraId="0000006F">
      <w:pPr>
        <w:rPr/>
      </w:pPr>
      <w:r w:rsidDel="00000000" w:rsidR="00000000" w:rsidRPr="00000000">
        <w:rPr>
          <w:b w:val="1"/>
          <w:bCs w:val="1"/>
          <w:rtl w:val="0"/>
        </w:rPr>
        <w:t xml:space="preserve">Body Weight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Weight loss is primary indicator of disease severity.</w:t>
      </w:r>
    </w:p>
    <w:p w:rsidR="00000000" w:rsidDel="00000000" w:rsidP="00000000" w:rsidRDefault="00000000" w:rsidRPr="00000000" w14:paraId="00000071">
      <w:pPr>
        <w:rPr/>
      </w:pPr>
      <w:r w:rsidDel="00000000" w:rsidR="00000000" w:rsidRPr="00000000">
        <w:rPr>
          <w:b w:val="1"/>
          <w:bCs w:val="1"/>
          <w:rtl w:val="0"/>
        </w:rPr>
        <w:t xml:space="preserve">Stool Consistency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Diarrhea scoring (formed, loose, liquid).</w:t>
      </w:r>
    </w:p>
    <w:p w:rsidR="00000000" w:rsidDel="00000000" w:rsidP="00000000" w:rsidRDefault="00000000" w:rsidRPr="00000000" w14:paraId="00000073">
      <w:pPr>
        <w:rPr/>
      </w:pPr>
      <w:r w:rsidDel="00000000" w:rsidR="00000000" w:rsidRPr="00000000">
        <w:rPr>
          <w:b w:val="1"/>
          <w:bCs w:val="1"/>
          <w:rtl w:val="0"/>
        </w:rPr>
        <w:t xml:space="preserve">Occult Blood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Hemoccult testing for GI bleeding.</w:t>
      </w:r>
    </w:p>
    <w:p w:rsidR="00000000" w:rsidDel="00000000" w:rsidP="00000000" w:rsidRDefault="00000000" w:rsidRPr="00000000" w14:paraId="00000075">
      <w:pPr>
        <w:rPr/>
      </w:pPr>
      <w:r w:rsidDel="00000000" w:rsidR="00000000" w:rsidRPr="00000000">
        <w:rPr>
          <w:b w:val="1"/>
          <w:bCs w:val="1"/>
          <w:rtl w:val="0"/>
        </w:rPr>
        <w:t xml:space="preserve">Disease Activity Index</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Combined scoring of weight, stool, and bleeding.</w:t>
      </w:r>
    </w:p>
    <w:p w:rsidR="00000000" w:rsidDel="00000000" w:rsidP="00000000" w:rsidRDefault="00000000" w:rsidRPr="00000000" w14:paraId="00000077">
      <w:pPr>
        <w:pStyle w:val="Heading3"/>
        <w:rPr/>
      </w:pPr>
      <w:r w:rsidDel="00000000" w:rsidR="00000000" w:rsidRPr="00000000">
        <w:rPr>
          <w:rtl w:val="0"/>
        </w:rPr>
        <w:t xml:space="preserve">Histological Assessment</w:t>
      </w:r>
    </w:p>
    <w:p w:rsidR="00000000" w:rsidDel="00000000" w:rsidP="00000000" w:rsidRDefault="00000000" w:rsidRPr="00000000" w14:paraId="00000078">
      <w:pPr>
        <w:rPr/>
      </w:pPr>
      <w:r w:rsidDel="00000000" w:rsidR="00000000" w:rsidRPr="00000000">
        <w:rPr>
          <w:b w:val="1"/>
          <w:bCs w:val="1"/>
          <w:rtl w:val="0"/>
        </w:rPr>
        <w:t xml:space="preserve">H&amp;E Staining</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Inflammation, crypt damage, ulceration, and architectural distortion.</w:t>
      </w:r>
    </w:p>
    <w:p w:rsidR="00000000" w:rsidDel="00000000" w:rsidP="00000000" w:rsidRDefault="00000000" w:rsidRPr="00000000" w14:paraId="0000007A">
      <w:pPr>
        <w:rPr/>
      </w:pPr>
      <w:r w:rsidDel="00000000" w:rsidR="00000000" w:rsidRPr="00000000">
        <w:rPr>
          <w:b w:val="1"/>
          <w:bCs w:val="1"/>
          <w:rtl w:val="0"/>
        </w:rPr>
        <w:t xml:space="preserve">Histological Scoring</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Standardized scoring systems quantify pathology.</w:t>
      </w:r>
    </w:p>
    <w:p w:rsidR="00000000" w:rsidDel="00000000" w:rsidP="00000000" w:rsidRDefault="00000000" w:rsidRPr="00000000" w14:paraId="0000007C">
      <w:pPr>
        <w:rPr/>
      </w:pPr>
      <w:r w:rsidDel="00000000" w:rsidR="00000000" w:rsidRPr="00000000">
        <w:rPr>
          <w:b w:val="1"/>
          <w:bCs w:val="1"/>
          <w:rtl w:val="0"/>
        </w:rPr>
        <w:t xml:space="preserve">Immunohistochemistry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Immune cell infiltration, cytokine expression.</w:t>
      </w:r>
    </w:p>
    <w:p w:rsidR="00000000" w:rsidDel="00000000" w:rsidP="00000000" w:rsidRDefault="00000000" w:rsidRPr="00000000" w14:paraId="0000007E">
      <w:pPr>
        <w:pStyle w:val="Heading3"/>
        <w:rPr/>
      </w:pPr>
      <w:r w:rsidDel="00000000" w:rsidR="00000000" w:rsidRPr="00000000">
        <w:rPr>
          <w:rtl w:val="0"/>
        </w:rPr>
        <w:t xml:space="preserve">Endoscopic Assessment</w:t>
      </w:r>
    </w:p>
    <w:p w:rsidR="00000000" w:rsidDel="00000000" w:rsidP="00000000" w:rsidRDefault="00000000" w:rsidRPr="00000000" w14:paraId="0000007F">
      <w:pPr>
        <w:rPr/>
      </w:pPr>
      <w:r w:rsidDel="00000000" w:rsidR="00000000" w:rsidRPr="00000000">
        <w:rPr>
          <w:b w:val="1"/>
          <w:bCs w:val="1"/>
          <w:rtl w:val="0"/>
        </w:rPr>
        <w:t xml:space="preserve">Colonoscopy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vivo visualization of mucosal inflammation.</w:t>
      </w:r>
    </w:p>
    <w:p w:rsidR="00000000" w:rsidDel="00000000" w:rsidP="00000000" w:rsidRDefault="00000000" w:rsidRPr="00000000" w14:paraId="00000081">
      <w:pPr>
        <w:rPr/>
      </w:pPr>
      <w:r w:rsidDel="00000000" w:rsidR="00000000" w:rsidRPr="00000000">
        <w:rPr>
          <w:b w:val="1"/>
          <w:bCs w:val="1"/>
          <w:rtl w:val="0"/>
        </w:rPr>
        <w:t xml:space="preserve">Mucosal Scoring</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Quantify inflammation, bleeding, and ulceration.</w:t>
      </w:r>
    </w:p>
    <w:p w:rsidR="00000000" w:rsidDel="00000000" w:rsidP="00000000" w:rsidRDefault="00000000" w:rsidRPr="00000000" w14:paraId="00000083">
      <w:pPr>
        <w:pStyle w:val="Heading3"/>
        <w:rPr/>
      </w:pPr>
      <w:r w:rsidDel="00000000" w:rsidR="00000000" w:rsidRPr="00000000">
        <w:rPr>
          <w:rtl w:val="0"/>
        </w:rPr>
        <w:t xml:space="preserve">Molecular Endpoints</w:t>
      </w:r>
    </w:p>
    <w:p w:rsidR="00000000" w:rsidDel="00000000" w:rsidP="00000000" w:rsidRDefault="00000000" w:rsidRPr="00000000" w14:paraId="00000084">
      <w:pPr>
        <w:rPr/>
      </w:pPr>
      <w:r w:rsidDel="00000000" w:rsidR="00000000" w:rsidRPr="00000000">
        <w:rPr>
          <w:b w:val="1"/>
          <w:bCs w:val="1"/>
          <w:rtl w:val="0"/>
        </w:rPr>
        <w:t xml:space="preserve">Cytokine Expression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qPCR or ELISA for inflammatory cytokines (TNF, IL1B, IL6, IL17, IL23).</w:t>
      </w:r>
    </w:p>
    <w:p w:rsidR="00000000" w:rsidDel="00000000" w:rsidP="00000000" w:rsidRDefault="00000000" w:rsidRPr="00000000" w14:paraId="00000086">
      <w:pPr>
        <w:rPr/>
      </w:pPr>
      <w:r w:rsidDel="00000000" w:rsidR="00000000" w:rsidRPr="00000000">
        <w:rPr>
          <w:b w:val="1"/>
          <w:bCs w:val="1"/>
          <w:rtl w:val="0"/>
        </w:rPr>
        <w:t xml:space="preserve">Barrier Function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FITC dextran permeability assay.</w:t>
      </w:r>
    </w:p>
    <w:p w:rsidR="00000000" w:rsidDel="00000000" w:rsidP="00000000" w:rsidRDefault="00000000" w:rsidRPr="00000000" w14:paraId="00000088">
      <w:pPr>
        <w:rPr/>
      </w:pPr>
      <w:r w:rsidDel="00000000" w:rsidR="00000000" w:rsidRPr="00000000">
        <w:rPr>
          <w:b w:val="1"/>
          <w:bCs w:val="1"/>
          <w:rtl w:val="0"/>
        </w:rPr>
        <w:t xml:space="preserve">Microbiome Analysis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16S sequencing of intestinal bacteria.</w:t>
      </w:r>
    </w:p>
    <w:p w:rsidR="00000000" w:rsidDel="00000000" w:rsidP="00000000" w:rsidRDefault="00000000" w:rsidRPr="00000000" w14:paraId="0000008A">
      <w:pPr>
        <w:pStyle w:val="Heading2"/>
        <w:rPr/>
      </w:pPr>
      <w:r w:rsidDel="00000000" w:rsidR="00000000" w:rsidRPr="00000000">
        <w:rPr>
          <w:rtl w:val="0"/>
        </w:rPr>
        <w:t xml:space="preserve">Therapeutic Applications</w:t>
      </w:r>
    </w:p>
    <w:p w:rsidR="00000000" w:rsidDel="00000000" w:rsidP="00000000" w:rsidRDefault="00000000" w:rsidRPr="00000000" w14:paraId="0000008B">
      <w:pPr>
        <w:pStyle w:val="Heading3"/>
        <w:rPr/>
      </w:pPr>
      <w:r w:rsidDel="00000000" w:rsidR="00000000" w:rsidRPr="00000000">
        <w:rPr>
          <w:rtl w:val="0"/>
        </w:rPr>
        <w:t xml:space="preserve">Anti Inflammatory Biologics</w:t>
      </w:r>
    </w:p>
    <w:p w:rsidR="00000000" w:rsidDel="00000000" w:rsidP="00000000" w:rsidRDefault="00000000" w:rsidRPr="00000000" w14:paraId="0000008C">
      <w:pPr>
        <w:rPr/>
      </w:pPr>
      <w:r w:rsidDel="00000000" w:rsidR="00000000" w:rsidRPr="00000000">
        <w:rPr>
          <w:b w:val="1"/>
          <w:bCs w:val="1"/>
          <w:rtl w:val="0"/>
        </w:rPr>
        <w:t xml:space="preserve">Anti TNF</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Models for evaluating infliximab class therapies.</w:t>
      </w:r>
    </w:p>
    <w:p w:rsidR="00000000" w:rsidDel="00000000" w:rsidP="00000000" w:rsidRDefault="00000000" w:rsidRPr="00000000" w14:paraId="0000008E">
      <w:pPr>
        <w:rPr/>
      </w:pPr>
      <w:r w:rsidDel="00000000" w:rsidR="00000000" w:rsidRPr="00000000">
        <w:rPr>
          <w:b w:val="1"/>
          <w:bCs w:val="1"/>
          <w:rtl w:val="0"/>
        </w:rPr>
        <w:t xml:space="preserve">Anti IL12/23</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Ustekinumab class targeting.</w:t>
      </w:r>
    </w:p>
    <w:p w:rsidR="00000000" w:rsidDel="00000000" w:rsidP="00000000" w:rsidRDefault="00000000" w:rsidRPr="00000000" w14:paraId="00000090">
      <w:pPr>
        <w:rPr/>
      </w:pPr>
      <w:r w:rsidDel="00000000" w:rsidR="00000000" w:rsidRPr="00000000">
        <w:rPr>
          <w:b w:val="1"/>
          <w:bCs w:val="1"/>
          <w:rtl w:val="0"/>
        </w:rPr>
        <w:t xml:space="preserve">Anti Integrins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Vedolizumab targets gut homing.</w:t>
      </w:r>
    </w:p>
    <w:p w:rsidR="00000000" w:rsidDel="00000000" w:rsidP="00000000" w:rsidRDefault="00000000" w:rsidRPr="00000000" w14:paraId="00000092">
      <w:pPr>
        <w:rPr/>
      </w:pPr>
      <w:r w:rsidDel="00000000" w:rsidR="00000000" w:rsidRPr="00000000">
        <w:rPr>
          <w:b w:val="1"/>
          <w:bCs w:val="1"/>
          <w:rtl w:val="0"/>
        </w:rPr>
        <w:t xml:space="preserve">JAK Inhibitors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Small molecule approaches.</w:t>
      </w:r>
    </w:p>
    <w:p w:rsidR="00000000" w:rsidDel="00000000" w:rsidP="00000000" w:rsidRDefault="00000000" w:rsidRPr="00000000" w14:paraId="00000094">
      <w:pPr>
        <w:pStyle w:val="Heading3"/>
        <w:rPr/>
      </w:pPr>
      <w:r w:rsidDel="00000000" w:rsidR="00000000" w:rsidRPr="00000000">
        <w:rPr>
          <w:rtl w:val="0"/>
        </w:rPr>
        <w:t xml:space="preserve">Barrier Function Restoration</w:t>
      </w:r>
    </w:p>
    <w:p w:rsidR="00000000" w:rsidDel="00000000" w:rsidP="00000000" w:rsidRDefault="00000000" w:rsidRPr="00000000" w14:paraId="00000095">
      <w:pPr>
        <w:rPr/>
      </w:pPr>
      <w:r w:rsidDel="00000000" w:rsidR="00000000" w:rsidRPr="00000000">
        <w:rPr>
          <w:b w:val="1"/>
          <w:bCs w:val="1"/>
          <w:rtl w:val="0"/>
        </w:rPr>
        <w:t xml:space="preserve">Tight Junction Modulators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Restore epithelial barrier integrity.</w:t>
      </w:r>
    </w:p>
    <w:p w:rsidR="00000000" w:rsidDel="00000000" w:rsidP="00000000" w:rsidRDefault="00000000" w:rsidRPr="00000000" w14:paraId="00000097">
      <w:pPr>
        <w:rPr/>
      </w:pPr>
      <w:r w:rsidDel="00000000" w:rsidR="00000000" w:rsidRPr="00000000">
        <w:rPr>
          <w:b w:val="1"/>
          <w:bCs w:val="1"/>
          <w:rtl w:val="0"/>
        </w:rPr>
        <w:t xml:space="preserve">Mucus Enhancement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Protect epithelium from bacterial contact.</w:t>
      </w:r>
    </w:p>
    <w:p w:rsidR="00000000" w:rsidDel="00000000" w:rsidP="00000000" w:rsidRDefault="00000000" w:rsidRPr="00000000" w14:paraId="00000099">
      <w:pPr>
        <w:pStyle w:val="Heading3"/>
        <w:rPr/>
      </w:pPr>
      <w:r w:rsidDel="00000000" w:rsidR="00000000" w:rsidRPr="00000000">
        <w:rPr>
          <w:rtl w:val="0"/>
        </w:rPr>
        <w:t xml:space="preserve">Microbiome Modulation</w:t>
      </w:r>
    </w:p>
    <w:p w:rsidR="00000000" w:rsidDel="00000000" w:rsidP="00000000" w:rsidRDefault="00000000" w:rsidRPr="00000000" w14:paraId="0000009A">
      <w:pPr>
        <w:rPr/>
      </w:pPr>
      <w:r w:rsidDel="00000000" w:rsidR="00000000" w:rsidRPr="00000000">
        <w:rPr>
          <w:b w:val="1"/>
          <w:bCs w:val="1"/>
          <w:rtl w:val="0"/>
        </w:rPr>
        <w:t xml:space="preserve">Probiotics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Beneficial bacteria to restore homeostasis.</w:t>
      </w:r>
    </w:p>
    <w:p w:rsidR="00000000" w:rsidDel="00000000" w:rsidP="00000000" w:rsidRDefault="00000000" w:rsidRPr="00000000" w14:paraId="0000009C">
      <w:pPr>
        <w:rPr/>
      </w:pPr>
      <w:r w:rsidDel="00000000" w:rsidR="00000000" w:rsidRPr="00000000">
        <w:rPr>
          <w:b w:val="1"/>
          <w:bCs w:val="1"/>
          <w:rtl w:val="0"/>
        </w:rPr>
        <w:t xml:space="preserve">Fecal Microbiota Transplant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Microbiome replacement strategies.</w:t>
      </w:r>
    </w:p>
    <w:p w:rsidR="00000000" w:rsidDel="00000000" w:rsidP="00000000" w:rsidRDefault="00000000" w:rsidRPr="00000000" w14:paraId="0000009E">
      <w:pPr>
        <w:pStyle w:val="Heading2"/>
        <w:rPr/>
      </w:pPr>
      <w:r w:rsidDel="00000000" w:rsidR="00000000" w:rsidRPr="00000000">
        <w:rPr>
          <w:rtl w:val="0"/>
        </w:rPr>
        <w:t xml:space="preserve">ITL's Approach to IBD Models</w:t>
      </w:r>
    </w:p>
    <w:p w:rsidR="00000000" w:rsidDel="00000000" w:rsidP="00000000" w:rsidRDefault="00000000" w:rsidRPr="00000000" w14:paraId="0000009F">
      <w:pPr>
        <w:pStyle w:val="Heading3"/>
        <w:rPr/>
      </w:pPr>
      <w:r w:rsidDel="00000000" w:rsidR="00000000" w:rsidRPr="00000000">
        <w:rPr>
          <w:rtl w:val="0"/>
        </w:rPr>
        <w:t xml:space="preserve">Pre Germline Characterization</w:t>
      </w:r>
    </w:p>
    <w:p w:rsidR="00000000" w:rsidDel="00000000" w:rsidP="00000000" w:rsidRDefault="00000000" w:rsidRPr="00000000" w14:paraId="000000A0">
      <w:pPr>
        <w:rPr/>
      </w:pPr>
      <w:r w:rsidDel="00000000" w:rsidR="00000000" w:rsidRPr="00000000">
        <w:rPr>
          <w:rtl w:val="0"/>
        </w:rPr>
        <w:t xml:space="preserve">ES cell based targeting provides comprehensive verification:</w:t>
      </w:r>
    </w:p>
    <w:p w:rsidR="00000000" w:rsidDel="00000000" w:rsidP="00000000" w:rsidRDefault="00000000" w:rsidRPr="00000000" w14:paraId="000000A1">
      <w:pPr>
        <w:rPr/>
      </w:pPr>
      <w:r w:rsidDel="00000000" w:rsidR="00000000" w:rsidRPr="00000000">
        <w:rPr>
          <w:b w:val="1"/>
          <w:bCs w:val="1"/>
          <w:rtl w:val="0"/>
        </w:rPr>
        <w:t xml:space="preserve">Sequence Verification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Ensures precise allele design.</w:t>
      </w:r>
    </w:p>
    <w:p w:rsidR="00000000" w:rsidDel="00000000" w:rsidP="00000000" w:rsidRDefault="00000000" w:rsidRPr="00000000" w14:paraId="000000A3">
      <w:pPr>
        <w:pStyle w:val="Heading3"/>
        <w:rPr/>
      </w:pPr>
      <w:r w:rsidDel="00000000" w:rsidR="00000000" w:rsidRPr="00000000">
        <w:rPr>
          <w:rtl w:val="0"/>
        </w:rPr>
        <w:t xml:space="preserve">Complex IBD Model Design</w:t>
      </w:r>
    </w:p>
    <w:p w:rsidR="00000000" w:rsidDel="00000000" w:rsidP="00000000" w:rsidRDefault="00000000" w:rsidRPr="00000000" w14:paraId="000000A4">
      <w:pPr>
        <w:rPr/>
      </w:pPr>
      <w:r w:rsidDel="00000000" w:rsidR="00000000" w:rsidRPr="00000000">
        <w:rPr>
          <w:rtl w:val="0"/>
        </w:rPr>
        <w:t xml:space="preserve">IBD research benefits from sophisticated genetic tools:</w:t>
      </w:r>
    </w:p>
    <w:p w:rsidR="00000000" w:rsidDel="00000000" w:rsidP="00000000" w:rsidRDefault="00000000" w:rsidRPr="00000000" w14:paraId="000000A5">
      <w:pPr>
        <w:rPr/>
      </w:pPr>
      <w:r w:rsidDel="00000000" w:rsidR="00000000" w:rsidRPr="00000000">
        <w:rPr>
          <w:b w:val="1"/>
          <w:bCs w:val="1"/>
          <w:rtl w:val="0"/>
        </w:rPr>
        <w:t xml:space="preserve">Cell Type Specific</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Conditional alleles for epithelial, immune, or stromal cell studies.</w:t>
      </w:r>
    </w:p>
    <w:p w:rsidR="00000000" w:rsidDel="00000000" w:rsidP="00000000" w:rsidRDefault="00000000" w:rsidRPr="00000000" w14:paraId="000000A7">
      <w:pPr>
        <w:rPr/>
      </w:pPr>
      <w:r w:rsidDel="00000000" w:rsidR="00000000" w:rsidRPr="00000000">
        <w:rPr>
          <w:b w:val="1"/>
          <w:bCs w:val="1"/>
          <w:rtl w:val="0"/>
        </w:rPr>
        <w:t xml:space="preserve">Patient Variant Knockins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Model specific Crohn or UC susceptibility variants.</w:t>
      </w:r>
    </w:p>
    <w:p w:rsidR="00000000" w:rsidDel="00000000" w:rsidP="00000000" w:rsidRDefault="00000000" w:rsidRPr="00000000" w14:paraId="000000A9">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Track inflammatory responses or specific cell populations.</w:t>
      </w:r>
    </w:p>
    <w:p w:rsidR="00000000" w:rsidDel="00000000" w:rsidP="00000000" w:rsidRDefault="00000000" w:rsidRPr="00000000" w14:paraId="000000AB">
      <w:pPr>
        <w:pStyle w:val="Heading2"/>
        <w:rPr/>
      </w:pPr>
      <w:r w:rsidDel="00000000" w:rsidR="00000000" w:rsidRPr="00000000">
        <w:rPr>
          <w:rtl w:val="0"/>
        </w:rPr>
        <w:t xml:space="preserve">What Researchers Say</w:t>
      </w:r>
    </w:p>
    <w:p w:rsidR="00000000" w:rsidDel="00000000" w:rsidP="00000000" w:rsidRDefault="00000000" w:rsidRPr="00000000" w14:paraId="000000AC">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(/testimonials)</w:t>
      </w:r>
    </w:p>
    <w:p w:rsidR="00000000" w:rsidDel="00000000" w:rsidP="00000000" w:rsidRDefault="00000000" w:rsidRPr="00000000" w14:paraId="000000AF">
      <w:pPr>
        <w:pStyle w:val="Heading2"/>
        <w:rPr/>
      </w:pPr>
      <w:r w:rsidDel="00000000" w:rsidR="00000000" w:rsidRPr="00000000">
        <w:rPr>
          <w:rtl w:val="0"/>
        </w:rPr>
        <w:t xml:space="preserve">Related Disease Models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(/autoimmune-disease-mice)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(/inflammatory-disease-mice)</w:t>
      </w:r>
    </w:p>
    <w:p w:rsidR="00000000" w:rsidDel="00000000" w:rsidP="00000000" w:rsidRDefault="00000000" w:rsidRPr="00000000" w14:paraId="000000B3">
      <w:pPr>
        <w:pStyle w:val="Heading2"/>
        <w:rPr/>
      </w:pPr>
      <w:r w:rsidDel="00000000" w:rsidR="00000000" w:rsidRPr="00000000">
        <w:rPr>
          <w:rtl w:val="0"/>
        </w:rPr>
        <w:t xml:space="preserve">Related Model Types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B7">
      <w:pPr>
        <w:pStyle w:val="Heading2"/>
        <w:rPr/>
      </w:pPr>
      <w:r w:rsidDel="00000000" w:rsidR="00000000" w:rsidRPr="00000000">
        <w:rPr>
          <w:rtl w:val="0"/>
        </w:rPr>
        <w:t xml:space="preserve">Related Technologies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BA">
      <w:pPr>
        <w:pStyle w:val="Heading2"/>
        <w:rPr/>
      </w:pPr>
      <w:r w:rsidDel="00000000" w:rsidR="00000000" w:rsidRPr="00000000">
        <w:rPr>
          <w:rtl w:val="0"/>
        </w:rPr>
        <w:t xml:space="preserve">Frequently Asked Questions</w:t>
      </w:r>
    </w:p>
    <w:p w:rsidR="00000000" w:rsidDel="00000000" w:rsidP="00000000" w:rsidRDefault="00000000" w:rsidRPr="00000000" w14:paraId="000000BB">
      <w:pPr>
        <w:rPr/>
      </w:pPr>
      <w:r w:rsidDel="00000000" w:rsidR="00000000" w:rsidRPr="00000000">
        <w:rPr>
          <w:b w:val="1"/>
          <w:bCs w:val="1"/>
          <w:rtl w:val="0"/>
        </w:rPr>
        <w:t xml:space="preserve">What Cre drivers are used for IBD studies?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Common IBD Cre drivers include Villin-Cre (intestinal epithelium), LysM-Cre (macrophages and neutrophils), CD4-Cre (T lymphocytes), CD11c-Cre (dendritic cells), and CX3CR1-Cre (monocytes/macrophages). Selection depends on whether you're studying epithelial barrier function, immune cell contributions, or combined mechanisms.</w:t>
      </w:r>
    </w:p>
    <w:p w:rsidR="00000000" w:rsidDel="00000000" w:rsidP="00000000" w:rsidRDefault="00000000" w:rsidRPr="00000000" w14:paraId="000000BD">
      <w:pPr>
        <w:rPr/>
      </w:pPr>
      <w:r w:rsidDel="00000000" w:rsidR="00000000" w:rsidRPr="00000000">
        <w:rPr>
          <w:b w:val="1"/>
          <w:bCs w:val="1"/>
          <w:rtl w:val="0"/>
        </w:rPr>
        <w:t xml:space="preserve">How do genetic backgrounds affect IBD model phenotypes?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IBD phenotypes vary dramatically with genetic background. C57BL/6 shows Th1-biased responses and is standard for many models. BALB/c shows Th2-biased responses with different disease characteristics. Some models show more or less severe phenotypes depending on background. Consistent background use within studies is critical.</w:t>
      </w:r>
    </w:p>
    <w:p w:rsidR="00000000" w:rsidDel="00000000" w:rsidP="00000000" w:rsidRDefault="00000000" w:rsidRPr="00000000" w14:paraId="000000BF">
      <w:pPr>
        <w:rPr/>
      </w:pPr>
      <w:r w:rsidDel="00000000" w:rsidR="00000000" w:rsidRPr="00000000">
        <w:rPr>
          <w:b w:val="1"/>
          <w:bCs w:val="1"/>
          <w:rtl w:val="0"/>
        </w:rPr>
        <w:t xml:space="preserve">Can IBD models be combined with microbiome manipulation?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Yes. IBD models can be combined with gnotobiotic approaches (germ-free or specific pathogen-free conditions) to control microbiome composition. DSS or TNBS models can be used in gnotobiotic mice to study specific microbial contributions. Antibiotic treatment can also modify microbiome in IBD models.</w:t>
      </w:r>
    </w:p>
    <w:p w:rsidR="00000000" w:rsidDel="00000000" w:rsidP="00000000" w:rsidRDefault="00000000" w:rsidRPr="00000000" w14:paraId="000000C1">
      <w:pPr>
        <w:rPr/>
      </w:pPr>
      <w:r w:rsidDel="00000000" w:rsidR="00000000" w:rsidRPr="00000000">
        <w:rPr>
          <w:b w:val="1"/>
          <w:bCs w:val="1"/>
          <w:rtl w:val="0"/>
        </w:rPr>
        <w:t xml:space="preserve">How do you phenotype IBD mouse models?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IBD phenotyping includes clinical assessment (body weight, stool consistency, occult blood, disease activity index), histological analysis (H&amp;E staining, inflammation scoring, crypt damage, architectural distortion), endoscopic assessment (in vivo visualization, mucosal scoring), and molecular endpoints (cytokine expression, barrier function assays).</w:t>
      </w:r>
    </w:p>
    <w:p w:rsidR="00000000" w:rsidDel="00000000" w:rsidP="00000000" w:rsidRDefault="00000000" w:rsidRPr="00000000" w14:paraId="000000C3">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hn76m5UJT9ZI3LslpsiFNARLA==">CgMxLjA4AHIhMW9lcVRpaU55S0tLcWV0dVBmWEo1ZDFtMEZGdXZzYnJj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