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rFonts w:ascii="Arial" w:cs="Arial" w:eastAsia="Arial" w:hAnsi="Arial"/>
          <w:b/>
          <w:bCs/>
          <w:color w:val="1E3A5F"/>
          <w:sz w:val="56"/>
          <w:szCs w:val="56"/>
        </w:rPr>
        <w:t xml:space="preserve">DIGITAL MARKETING PROPOSAL</w:t>
      </w:r>
    </w:p>
    <w:p>
      <w:pPr>
        <w:spacing w:after="600"/>
        <w:jc w:val="center"/>
      </w:pPr>
      <w:r>
        <w:rPr>
          <w:rFonts w:ascii="Arial" w:cs="Arial" w:eastAsia="Arial" w:hAnsi="Arial"/>
          <w:color w:val="2E8B8B"/>
          <w:sz w:val="32"/>
          <w:szCs w:val="32"/>
        </w:rPr>
        <w:t xml:space="preserve">Comprehensive Healthcare Marketing Services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E8F4F8" w:val="clear"/>
            <w:tcMar>
              <w:top w:type="dxa" w:w="300"/>
              <w:left w:type="dxa" w:w="400"/>
              <w:bottom w:type="dxa" w:w="300"/>
              <w:right w:type="dxa" w:w="400"/>
            </w:tcMar>
          </w:tcPr>
          <w:p>
            <w:pPr>
              <w:spacing w:after="100"/>
              <w:jc w:val="center"/>
            </w:pPr>
            <w:r>
              <w:rPr>
                <w:rFonts w:ascii="Arial" w:cs="Arial" w:eastAsia="Arial" w:hAnsi="Arial"/>
                <w:color w:val="666666"/>
                <w:sz w:val="22"/>
                <w:szCs w:val="22"/>
              </w:rPr>
              <w:t xml:space="preserve">Prepared For:</w:t>
            </w:r>
          </w:p>
          <w:p>
            <w:pPr>
              <w:spacing w:after="100"/>
              <w:jc w:val="center"/>
            </w:pPr>
            <w:r>
              <w:rPr>
                <w:rFonts w:ascii="Arial" w:cs="Arial" w:eastAsia="Arial" w:hAnsi="Arial"/>
                <w:b/>
                <w:bCs/>
                <w:color w:val="1E3A5F"/>
                <w:sz w:val="28"/>
                <w:szCs w:val="28"/>
              </w:rPr>
              <w:t xml:space="preserve">Dr. John M. Abrahams</w:t>
            </w:r>
          </w:p>
          <w:p>
            <w:pPr>
              <w:jc w:val="center"/>
            </w:pPr>
            <w:r>
              <w:rPr>
                <w:rFonts w:ascii="Arial" w:cs="Arial" w:eastAsia="Arial" w:hAnsi="Arial"/>
                <w:color w:val="2E8B8B"/>
                <w:sz w:val="20"/>
                <w:szCs w:val="20"/>
              </w:rPr>
              <w:t xml:space="preserve">Institute for Spine Surgery  |  Cognifica Health  |  Kronos Health</w:t>
            </w:r>
          </w:p>
        </w:tc>
      </w:tr>
    </w:tbl>
    <w:p>
      <w:pPr>
        <w:spacing w:before="600" w:after="200"/>
      </w:pPr>
    </w:p>
    <w:p>
      <w:pPr>
        <w:jc w:val="center"/>
      </w:pPr>
      <w:r>
        <w:rPr>
          <w:rFonts w:ascii="Arial" w:cs="Arial" w:eastAsia="Arial" w:hAnsi="Arial"/>
          <w:color w:val="666666"/>
          <w:sz w:val="24"/>
          <w:szCs w:val="24"/>
        </w:rPr>
        <w:t xml:space="preserve">Prepared by UXUI Design Corp</w:t>
      </w:r>
    </w:p>
    <w:p>
      <w:pPr>
        <w:jc w:val="center"/>
      </w:pPr>
      <w:r>
        <w:rPr>
          <w:rFonts w:ascii="Arial" w:cs="Arial" w:eastAsia="Arial" w:hAnsi="Arial"/>
          <w:color w:val="999999"/>
          <w:sz w:val="22"/>
          <w:szCs w:val="22"/>
        </w:rPr>
        <w:t xml:space="preserve">February 2026</w:t>
      </w:r>
    </w:p>
    <w:p>
      <w:r>
        <w:br w:type="page"/>
      </w:r>
    </w:p>
    <w:p>
      <w:pPr>
        <w:pBdr>
          <w:bottom w:val="single" w:color="2E8B8B" w:sz="6"/>
        </w:pBdr>
        <w:spacing w:before="400" w:after="200"/>
      </w:pPr>
      <w:r>
        <w:rPr>
          <w:rFonts w:ascii="Arial" w:cs="Arial" w:eastAsia="Arial" w:hAnsi="Arial"/>
          <w:b/>
          <w:bCs/>
          <w:color w:val="1E3A5F"/>
          <w:sz w:val="28"/>
          <w:szCs w:val="28"/>
        </w:rPr>
        <w:t xml:space="preserve">Executive Summary</w:t>
      </w:r>
    </w:p>
    <w:p>
      <w:pPr>
        <w:spacing w:after="150"/>
        <w:jc w:val="left"/>
      </w:pPr>
      <w:r>
        <w:rPr>
          <w:rFonts w:ascii="Arial" w:cs="Arial" w:eastAsia="Arial" w:hAnsi="Arial"/>
          <w:sz w:val="22"/>
          <w:szCs w:val="22"/>
        </w:rPr>
        <w:t xml:space="preserve">This proposal outlines a comprehensive digital marketing program for Dr. John Abrahams' three healthcare entities: Institute for Spine Surgery (ISS), Cognifica Health, and Kronos Health. Our approach recognizes that while these companies share leadership and operational synergies, each serves distinct markets requiring tailored messaging and channel strategies.</w:t>
      </w:r>
    </w:p>
    <w:p>
      <w:pPr>
        <w:spacing w:after="150"/>
        <w:jc w:val="left"/>
      </w:pPr>
      <w:r>
        <w:rPr>
          <w:rFonts w:ascii="Arial" w:cs="Arial" w:eastAsia="Arial" w:hAnsi="Arial"/>
          <w:sz w:val="22"/>
          <w:szCs w:val="22"/>
        </w:rPr>
        <w:t xml:space="preserve">We are proposing a unified marketing infrastructure that maximizes efficiency while maintaining brand differentiation, with particular emphasis on the new NeuroStar TMS service launch at Cognifica Health.</w:t>
      </w:r>
    </w:p>
    <w:p>
      <w:pPr>
        <w:spacing w:before="200" w:after="100"/>
      </w:pPr>
    </w:p>
    <w:p>
      <w:pPr>
        <w:spacing w:before="300" w:after="150"/>
      </w:pPr>
      <w:r>
        <w:rPr>
          <w:rFonts w:ascii="Arial" w:cs="Arial" w:eastAsia="Arial" w:hAnsi="Arial"/>
          <w:b/>
          <w:bCs/>
          <w:color w:val="2E8B8B"/>
          <w:sz w:val="24"/>
          <w:szCs w:val="24"/>
        </w:rPr>
        <w:t xml:space="preserve">Why Healthcare Marketing Requires Specialized Investment</w:t>
      </w:r>
    </w:p>
    <w:p>
      <w:pPr>
        <w:spacing w:after="150"/>
        <w:jc w:val="left"/>
      </w:pPr>
      <w:r>
        <w:rPr>
          <w:rFonts w:ascii="Arial" w:cs="Arial" w:eastAsia="Arial" w:hAnsi="Arial"/>
          <w:sz w:val="22"/>
          <w:szCs w:val="22"/>
        </w:rPr>
        <w:t xml:space="preserve">Healthcare marketing operates under unique constraints that require specialized expertise and rigorous processes: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Medical content writers with clinical knowledge to ensure accuracy and appropriate terminology</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Compliance review for every piece of content (HIPAA, FDA, FTC regulations)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Longer approval cycles involving clinical staff review</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Strict limitations on claims, especially for medical devices like NeuroStar TMS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Higher liability exposure requiring careful documentation and review</w:t>
      </w:r>
    </w:p>
    <w:p>
      <w:pPr>
        <w:spacing w:after="150"/>
        <w:jc w:val="left"/>
      </w:pPr>
      <w:r>
        <w:rPr>
          <w:rFonts w:ascii="Arial" w:cs="Arial" w:eastAsia="Arial" w:hAnsi="Arial"/>
          <w:sz w:val="22"/>
          <w:szCs w:val="22"/>
        </w:rPr>
        <w:t xml:space="preserve">These requirements are built into our pricing and workflow to protect both parties and ensure marketing that is both effective and compliant.</w:t>
      </w:r>
    </w:p>
    <w:p>
      <w:pPr>
        <w:spacing w:before="200" w:after="100"/>
      </w:pPr>
    </w:p>
    <w:p>
      <w:pPr>
        <w:spacing w:before="300" w:after="150"/>
      </w:pPr>
      <w:r>
        <w:rPr>
          <w:rFonts w:ascii="Arial" w:cs="Arial" w:eastAsia="Arial" w:hAnsi="Arial"/>
          <w:b/>
          <w:bCs/>
          <w:color w:val="2E8B8B"/>
          <w:sz w:val="24"/>
          <w:szCs w:val="24"/>
        </w:rPr>
        <w:t xml:space="preserve">Key Deliverables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Social media management across LinkedIn, Facebook, and Instagram (2-3 posts/week per company)</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Monthly email newsletters with dual-track strategy (patients and referring physicians)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Quarterly website updates and content refreshes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Google Ads campaign management and optimization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NeuroStar TMS launch marketing campaign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All content created by healthcare-specialized writers with clinical review</w:t>
      </w:r>
    </w:p>
    <w:p>
      <w:r>
        <w:br w:type="page"/>
      </w:r>
    </w:p>
    <w:p>
      <w:pPr>
        <w:pBdr>
          <w:bottom w:val="single" w:color="2E8B8B" w:sz="6"/>
        </w:pBdr>
        <w:spacing w:before="400" w:after="200"/>
      </w:pPr>
      <w:r>
        <w:rPr>
          <w:rFonts w:ascii="Arial" w:cs="Arial" w:eastAsia="Arial" w:hAnsi="Arial"/>
          <w:b/>
          <w:bCs/>
          <w:color w:val="1E3A5F"/>
          <w:sz w:val="28"/>
          <w:szCs w:val="28"/>
        </w:rPr>
        <w:t xml:space="preserve">Company Analysis and Marketing Strategy</w:t>
      </w:r>
    </w:p>
    <w:p>
      <w:pPr>
        <w:spacing w:before="300" w:after="150"/>
      </w:pPr>
      <w:r>
        <w:rPr>
          <w:rFonts w:ascii="Arial" w:cs="Arial" w:eastAsia="Arial" w:hAnsi="Arial"/>
          <w:b/>
          <w:bCs/>
          <w:color w:val="2E8B8B"/>
          <w:sz w:val="24"/>
          <w:szCs w:val="24"/>
        </w:rPr>
        <w:t xml:space="preserve">1. Institute for Spine Surgery (iss.health)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Core Services</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Minimally invasive spine surgery, spinal fusion, cervical and lumbar procedures, pain management, physical therapy rehabilitation</w:t>
            </w:r>
          </w:p>
        </w:tc>
      </w:tr>
      <w:tr>
        <w:tc>
          <w:tcPr>
            <w:tcW w:type="dxa" w:w="25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Marketing Reality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80-90% of spine surgery patients come through physician referrals (PCPs, pain management, orthopedists, neurologists). Direct-to-patient marketing builds reputation; physician relationships drive volume.</w:t>
            </w:r>
          </w:p>
        </w:tc>
      </w:tr>
      <w:tr>
        <w:tc>
          <w:tcPr>
            <w:tcW w:type="dxa" w:w="25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Dual-Track Strategy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TRACK 1 (Patients): Facebook, Instagram, Google Ads — awareness, education, reputation. TRACK 2 (Physicians): LinkedIn, email newsletters, case studies — referral relationship building.</w:t>
            </w:r>
          </w:p>
        </w:tc>
      </w:tr>
    </w:tbl>
    <w:p>
      <w:pPr>
        <w:spacing w:before="300"/>
      </w:pPr>
    </w:p>
    <w:p>
      <w:pPr>
        <w:spacing w:before="300" w:after="150"/>
      </w:pPr>
      <w:r>
        <w:rPr>
          <w:rFonts w:ascii="Arial" w:cs="Arial" w:eastAsia="Arial" w:hAnsi="Arial"/>
          <w:b/>
          <w:bCs/>
          <w:color w:val="2E8B8B"/>
          <w:sz w:val="24"/>
          <w:szCs w:val="24"/>
        </w:rPr>
        <w:t xml:space="preserve">2. Cognifica Health (cognifica.health)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Core Services</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Concussion recovery, cognitive dysfunction treatment, neuropsychological evaluation, TBI rehabilitation, NeuroStar TMS therapy for depression/OCD/anxiety</w:t>
            </w:r>
          </w:p>
        </w:tc>
      </w:tr>
      <w:tr>
        <w:tc>
          <w:tcPr>
            <w:tcW w:type="dxa" w:w="25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Marketing Reality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Unlike spine surgery, TMS patients self-refer. 67% of depression patients are actively seeking alternatives to medication. Direct-to-consumer marketing is highly effective here.</w:t>
            </w:r>
          </w:p>
        </w:tc>
      </w:tr>
      <w:tr>
        <w:tc>
          <w:tcPr>
            <w:tcW w:type="dxa" w:w="25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TMS Opportunity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Two NeuroStar machines represent significant capital investment requiring patient volume. 83% response rate, 62% remission rate. FDA-cleared for adults and adolescents 15+. Insurance coverage strong (Medicare, Tricare, commercial).</w:t>
            </w:r>
          </w:p>
        </w:tc>
      </w:tr>
    </w:tbl>
    <w:p>
      <w:pPr>
        <w:spacing w:before="300"/>
      </w:pPr>
    </w:p>
    <w:p>
      <w:pPr>
        <w:spacing w:before="300" w:after="150"/>
      </w:pPr>
      <w:r>
        <w:rPr>
          <w:rFonts w:ascii="Arial" w:cs="Arial" w:eastAsia="Arial" w:hAnsi="Arial"/>
          <w:b/>
          <w:bCs/>
          <w:color w:val="2E8B8B"/>
          <w:sz w:val="24"/>
          <w:szCs w:val="24"/>
        </w:rPr>
        <w:t xml:space="preserve">3. Kronos Health (kronoshealth.co)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Core Services</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Payment dispute resolution (No Surprises Act/IDR), digital health tools (Tappy, AISA), cognitive franchise program, clinically integrated neuropsychology network</w:t>
            </w:r>
          </w:p>
        </w:tc>
      </w:tr>
      <w:tr>
        <w:tc>
          <w:tcPr>
            <w:tcW w:type="dxa" w:w="25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Marketing Reality</w:t>
            </w:r>
          </w:p>
        </w:tc>
        <w:tc>
          <w:tcPr>
            <w:tcW w:type="dxa" w:w="75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B2B healthcare services — completely different audience (practice administrators, physicians). LinkedIn-dominant, thought leadership positioning. No consumer platforms needed.</w:t>
            </w:r>
          </w:p>
        </w:tc>
      </w:tr>
    </w:tbl>
    <w:p>
      <w:r>
        <w:br w:type="page"/>
      </w:r>
    </w:p>
    <w:p>
      <w:pPr>
        <w:pBdr>
          <w:bottom w:val="single" w:color="2E8B8B" w:sz="6"/>
        </w:pBdr>
        <w:spacing w:before="400" w:after="200"/>
      </w:pPr>
      <w:r>
        <w:rPr>
          <w:rFonts w:ascii="Arial" w:cs="Arial" w:eastAsia="Arial" w:hAnsi="Arial"/>
          <w:b/>
          <w:bCs/>
          <w:color w:val="1E3A5F"/>
          <w:sz w:val="28"/>
          <w:szCs w:val="28"/>
        </w:rPr>
        <w:t xml:space="preserve">NeuroStar TMS Launch Campaign</w:t>
      </w:r>
    </w:p>
    <w:p>
      <w:pPr>
        <w:spacing w:after="150"/>
        <w:jc w:val="left"/>
      </w:pPr>
      <w:r>
        <w:rPr>
          <w:rFonts w:ascii="Arial" w:cs="Arial" w:eastAsia="Arial" w:hAnsi="Arial"/>
          <w:sz w:val="22"/>
          <w:szCs w:val="22"/>
        </w:rPr>
        <w:t xml:space="preserve">The acquisition of two NeuroStar TMS machines represents your most significant near-term marketing priority. This requires a dedicated launch campaign with content that strictly adheres to FDA-cleared indications.</w:t>
      </w:r>
    </w:p>
    <w:p>
      <w:pPr>
        <w:spacing w:before="300" w:after="150"/>
      </w:pPr>
      <w:r>
        <w:rPr>
          <w:rFonts w:ascii="Arial" w:cs="Arial" w:eastAsia="Arial" w:hAnsi="Arial"/>
          <w:b/>
          <w:bCs/>
          <w:color w:val="2E8B8B"/>
          <w:sz w:val="24"/>
          <w:szCs w:val="24"/>
        </w:rPr>
        <w:t xml:space="preserve">Launch Strategy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 1: Awareness</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50"/>
            </w:pPr>
            <w:r>
              <w:rPr>
                <w:rFonts w:ascii="Arial" w:cs="Arial" w:eastAsia="Arial" w:hAnsi="Arial"/>
                <w:b/>
                <w:bCs/>
                <w:sz w:val="20"/>
                <w:szCs w:val="20"/>
              </w:rPr>
              <w:t xml:space="preserve">Months 1-2</w:t>
            </w:r>
          </w:p>
          <w:p>
            <w:r>
              <w:rPr>
                <w:rFonts w:ascii="Arial" w:cs="Arial" w:eastAsia="Arial" w:hAnsi="Arial"/>
                <w:sz w:val="20"/>
                <w:szCs w:val="20"/>
              </w:rPr>
              <w:t xml:space="preserve">Educational content development, landing page creation, email announcement to existing patient base, social media teasers. All content reviewed for FDA compliance on claims.</w:t>
            </w:r>
          </w:p>
        </w:tc>
      </w:tr>
      <w:tr>
        <w:tc>
          <w:tcPr>
            <w:tcW w:type="dxa" w:w="2520"/>
            <w:tcBorders>
              <w:top w:val="single" w:color="CCCCCC" w:sz="1"/>
              <w:left w:val="single" w:color="CCCCCC" w:sz="1"/>
              <w:bottom w:val="single" w:color="CCCCCC" w:sz="1"/>
              <w:right w:val="single" w:color="CCCCCC" w:sz="1"/>
            </w:tcBorders>
            <w:shd w:fill="2E8B8B" w:val="clear"/>
            <w:tcMar>
              <w:top w:type="dxa" w:w="100"/>
              <w:left w:type="dxa" w:w="150"/>
              <w:bottom w:type="dxa" w:w="100"/>
              <w:right w:type="dxa" w:w="150"/>
            </w:tcMar>
          </w:tcPr>
          <w:p>
            <w:r>
              <w:rPr>
                <w:rFonts w:ascii="Arial" w:cs="Arial" w:eastAsia="Arial" w:hAnsi="Arial"/>
                <w:b/>
                <w:bCs/>
                <w:color w:val="FFFFFF"/>
                <w:sz w:val="20"/>
                <w:szCs w:val="20"/>
              </w:rPr>
              <w:t xml:space="preserve">Phase 2: Launch</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50"/>
            </w:pPr>
            <w:r>
              <w:rPr>
                <w:rFonts w:ascii="Arial" w:cs="Arial" w:eastAsia="Arial" w:hAnsi="Arial"/>
                <w:b/>
                <w:bCs/>
                <w:sz w:val="20"/>
                <w:szCs w:val="20"/>
              </w:rPr>
              <w:t xml:space="preserve">Months 3-4</w:t>
            </w:r>
          </w:p>
          <w:p>
            <w:r>
              <w:rPr>
                <w:rFonts w:ascii="Arial" w:cs="Arial" w:eastAsia="Arial" w:hAnsi="Arial"/>
                <w:sz w:val="20"/>
                <w:szCs w:val="20"/>
              </w:rPr>
              <w:t xml:space="preserve">Official service announcement, Google Ads campaign launch targeting depression treatment searches, physician referral outreach, insurance coverage messaging.</w:t>
            </w:r>
          </w:p>
        </w:tc>
      </w:tr>
      <w:tr>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Phase 3: Growth</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50"/>
            </w:pPr>
            <w:r>
              <w:rPr>
                <w:rFonts w:ascii="Arial" w:cs="Arial" w:eastAsia="Arial" w:hAnsi="Arial"/>
                <w:b/>
                <w:bCs/>
                <w:sz w:val="20"/>
                <w:szCs w:val="20"/>
              </w:rPr>
              <w:t xml:space="preserve">Months 5+</w:t>
            </w:r>
          </w:p>
          <w:p>
            <w:r>
              <w:rPr>
                <w:rFonts w:ascii="Arial" w:cs="Arial" w:eastAsia="Arial" w:hAnsi="Arial"/>
                <w:sz w:val="20"/>
                <w:szCs w:val="20"/>
              </w:rPr>
              <w:t xml:space="preserve">Patient testimonials (with HIPAA authorization), expanded targeting (OCD, anxious depression, adolescents 15+), referral network building, community partnerships.</w:t>
            </w:r>
          </w:p>
        </w:tc>
      </w:tr>
    </w:tbl>
    <w:p>
      <w:pPr>
        <w:spacing w:before="200"/>
      </w:pPr>
    </w:p>
    <w:p>
      <w:pPr>
        <w:spacing w:before="300" w:after="150"/>
      </w:pPr>
      <w:r>
        <w:rPr>
          <w:rFonts w:ascii="Arial" w:cs="Arial" w:eastAsia="Arial" w:hAnsi="Arial"/>
          <w:b/>
          <w:bCs/>
          <w:color w:val="2E8B8B"/>
          <w:sz w:val="24"/>
          <w:szCs w:val="24"/>
        </w:rPr>
        <w:t xml:space="preserve">FDA-Compliant TMS Messaging Framework</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FDA-cleared, non-drug treatment for major depressive disorder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Indicated when prior antidepressant medications have not provided satisfactory improvement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Also cleared for OCD (as adjunct) and anxious depression in adults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First and only TMS cleared for adolescents ages 15-21 (as adjunct to antidepressants)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Published outcomes: 83% response rate, 62% remission rate (per NeuroStar registry data)</w:t>
      </w:r>
    </w:p>
    <w:p>
      <w:pPr>
        <w:spacing w:after="150"/>
        <w:jc w:val="left"/>
      </w:pPr>
      <w:r>
        <w:rPr>
          <w:rFonts w:ascii="Arial" w:cs="Arial" w:eastAsia="Arial" w:hAnsi="Arial"/>
          <w:sz w:val="22"/>
          <w:szCs w:val="22"/>
        </w:rPr>
        <w:t xml:space="preserve">Note: We will leverage NeuroStar's co-op marketing program and pre-approved materials where available to ensure compliance and reduce content development costs.</w:t>
      </w:r>
    </w:p>
    <w:p>
      <w:r>
        <w:br w:type="page"/>
      </w:r>
    </w:p>
    <w:p>
      <w:pPr>
        <w:pBdr>
          <w:bottom w:val="single" w:color="2E8B8B" w:sz="6"/>
        </w:pBdr>
        <w:spacing w:before="400" w:after="200"/>
      </w:pPr>
      <w:r>
        <w:rPr>
          <w:rFonts w:ascii="Arial" w:cs="Arial" w:eastAsia="Arial" w:hAnsi="Arial"/>
          <w:b/>
          <w:bCs/>
          <w:color w:val="1E3A5F"/>
          <w:sz w:val="28"/>
          <w:szCs w:val="28"/>
        </w:rPr>
        <w:t xml:space="preserve">Scope of Services</w:t>
      </w:r>
    </w:p>
    <w:p>
      <w:pPr>
        <w:spacing w:before="300" w:after="150"/>
      </w:pPr>
      <w:r>
        <w:rPr>
          <w:rFonts w:ascii="Arial" w:cs="Arial" w:eastAsia="Arial" w:hAnsi="Arial"/>
          <w:b/>
          <w:bCs/>
          <w:color w:val="2E8B8B"/>
          <w:sz w:val="24"/>
          <w:szCs w:val="24"/>
        </w:rPr>
        <w:t xml:space="preserve">Content Development and Compliance Process</w:t>
      </w:r>
    </w:p>
    <w:p>
      <w:pPr>
        <w:spacing w:after="150"/>
        <w:jc w:val="left"/>
      </w:pPr>
      <w:r>
        <w:rPr>
          <w:rFonts w:ascii="Arial" w:cs="Arial" w:eastAsia="Arial" w:hAnsi="Arial"/>
          <w:sz w:val="22"/>
          <w:szCs w:val="22"/>
        </w:rPr>
        <w:t xml:space="preserve">All content follows a rigorous development and approval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Step 1: Creation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Healthcare-specialized copywriters draft content with appropriate clinical terminology and compliant claims</w:t>
            </w:r>
          </w:p>
        </w:tc>
      </w:tr>
      <w:tr>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Step 2: Internal Review</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UXUI Design Corp reviews for HIPAA compliance, FDA/FTC adherence, brand consistency</w:t>
            </w:r>
          </w:p>
        </w:tc>
      </w:tr>
      <w:tr>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Step 3: Clinical Review</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Your designated clinical reviewer (Dr. Abrahams or delegate) approves medical accuracy</w:t>
            </w:r>
          </w:p>
        </w:tc>
      </w:tr>
      <w:tr>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Step 4: Publication</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Content scheduled and published with documentation retained for compliance records</w:t>
            </w:r>
          </w:p>
        </w:tc>
      </w:tr>
    </w:tbl>
    <w:p>
      <w:pPr>
        <w:spacing w:before="250"/>
      </w:pPr>
    </w:p>
    <w:p>
      <w:pPr>
        <w:spacing w:before="300" w:after="150"/>
      </w:pPr>
      <w:r>
        <w:rPr>
          <w:rFonts w:ascii="Arial" w:cs="Arial" w:eastAsia="Arial" w:hAnsi="Arial"/>
          <w:b/>
          <w:bCs/>
          <w:color w:val="2E8B8B"/>
          <w:sz w:val="24"/>
          <w:szCs w:val="24"/>
        </w:rPr>
        <w:t xml:space="preserve">Social Media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Deliverable</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ISS</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Cognifica</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Kronos</w:t>
            </w:r>
          </w:p>
        </w:tc>
      </w:tr>
      <w:tr>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Posts/Week</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2-3</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3 (TMS priority)</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2</w:t>
            </w:r>
          </w:p>
        </w:tc>
      </w:tr>
      <w:tr>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Platforms</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LinkedIn, FB, IG</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LinkedIn, FB, IG</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LinkedIn only</w:t>
            </w:r>
          </w:p>
        </w:tc>
      </w:tr>
      <w:tr>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Audience</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Patients + Referring MDs</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Patients + Parents of teens</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Healthcare providers (B2B)</w:t>
            </w:r>
          </w:p>
        </w:tc>
      </w:tr>
    </w:tbl>
    <w:p>
      <w:pPr>
        <w:spacing w:before="100" w:after="50"/>
      </w:pPr>
    </w:p>
    <w:p>
      <w:pPr>
        <w:spacing w:after="150"/>
        <w:jc w:val="left"/>
      </w:pPr>
      <w:r>
        <w:rPr>
          <w:rFonts w:ascii="Arial" w:cs="Arial" w:eastAsia="Arial" w:hAnsi="Arial"/>
          <w:sz w:val="22"/>
          <w:szCs w:val="22"/>
        </w:rPr>
        <w:t xml:space="preserve">Total: Approximately 28-32 original posts per month across all brands, each with custom graphics, healthcare-compliant copy, and clinical review.</w:t>
      </w:r>
    </w:p>
    <w:p>
      <w:pPr>
        <w:spacing w:before="200"/>
      </w:pPr>
    </w:p>
    <w:p>
      <w:pPr>
        <w:spacing w:before="300" w:after="150"/>
      </w:pPr>
      <w:r>
        <w:rPr>
          <w:rFonts w:ascii="Arial" w:cs="Arial" w:eastAsia="Arial" w:hAnsi="Arial"/>
          <w:b/>
          <w:bCs/>
          <w:color w:val="2E8B8B"/>
          <w:sz w:val="24"/>
          <w:szCs w:val="24"/>
        </w:rPr>
        <w:t xml:space="preserve">Email Newsletter Program</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ISS Patient Newsletter: Monthly — spine health tips, patient stories, practice updates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ISS Physician Newsletter: Quarterly — case studies, referral criteria, surgical innovations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Cognifica Newsletter: Monthly — TMS education, brain wellness, cognitive health (patient focus)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Kronos Newsletter: Quarterly — industry updates, IDR insights, digital health trends (B2B)</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All newsletters include design, copywriting, list management, and performance reporting</w:t>
      </w:r>
    </w:p>
    <w:p>
      <w:pPr>
        <w:spacing w:before="200"/>
      </w:pPr>
    </w:p>
    <w:p>
      <w:pPr>
        <w:spacing w:before="300" w:after="150"/>
      </w:pPr>
      <w:r>
        <w:rPr>
          <w:rFonts w:ascii="Arial" w:cs="Arial" w:eastAsia="Arial" w:hAnsi="Arial"/>
          <w:b/>
          <w:bCs/>
          <w:color w:val="2E8B8B"/>
          <w:sz w:val="24"/>
          <w:szCs w:val="24"/>
        </w:rPr>
        <w:t xml:space="preserve">Website Content and SEO</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Quarterly content updates across all three sites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Blog posts and educational articles (2-4 per quarter per site)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TMS-specific landing pages for Cognifica</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SEO optimization for local healthcare searches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Performance analytics and recommendations</w:t>
      </w:r>
    </w:p>
    <w:p>
      <w:pPr>
        <w:spacing w:before="200"/>
      </w:pPr>
    </w:p>
    <w:p>
      <w:pPr>
        <w:spacing w:before="300" w:after="150"/>
      </w:pPr>
      <w:r>
        <w:rPr>
          <w:rFonts w:ascii="Arial" w:cs="Arial" w:eastAsia="Arial" w:hAnsi="Arial"/>
          <w:b/>
          <w:bCs/>
          <w:color w:val="2E8B8B"/>
          <w:sz w:val="24"/>
          <w:szCs w:val="24"/>
        </w:rPr>
        <w:t xml:space="preserve">Google Ads Management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Campaign strategy, setup, and ongoing optimization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Healthcare-compliant ad copy with proper disclaimers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Keyword targeting for spine surgery and TMS treatment searches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Conversion tracking and ROI reporting</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Monthly performance reviews and budget recommendations</w:t>
      </w:r>
    </w:p>
    <w:p>
      <w:r>
        <w:br w:type="page"/>
      </w:r>
    </w:p>
    <w:p>
      <w:pPr>
        <w:pBdr>
          <w:bottom w:val="single" w:color="2E8B8B" w:sz="6"/>
        </w:pBdr>
        <w:spacing w:before="400" w:after="200"/>
      </w:pPr>
      <w:r>
        <w:rPr>
          <w:rFonts w:ascii="Arial" w:cs="Arial" w:eastAsia="Arial" w:hAnsi="Arial"/>
          <w:b/>
          <w:bCs/>
          <w:color w:val="1E3A5F"/>
          <w:sz w:val="28"/>
          <w:szCs w:val="28"/>
        </w:rPr>
        <w:t xml:space="preserve">Investment</w:t>
      </w:r>
    </w:p>
    <w:p>
      <w:pPr>
        <w:spacing w:after="150"/>
        <w:jc w:val="left"/>
      </w:pPr>
      <w:r>
        <w:rPr>
          <w:rFonts w:ascii="Arial" w:cs="Arial" w:eastAsia="Arial" w:hAnsi="Arial"/>
          <w:sz w:val="22"/>
          <w:szCs w:val="22"/>
        </w:rPr>
        <w:t xml:space="preserve">Healthcare marketing requires specialized expertise that commands appropriate investment. Our pricing reflects the true cost of compliant, effective healthcare marketing including medical copywriters, compliance review processes, and the expertise to navigate FDA, HIPAA, and FTC requirements.</w:t>
      </w:r>
    </w:p>
    <w:p>
      <w:pPr>
        <w:spacing w:before="200"/>
      </w:pPr>
    </w:p>
    <w:p>
      <w:pPr>
        <w:spacing w:before="300" w:after="150"/>
      </w:pPr>
      <w:r>
        <w:rPr>
          <w:rFonts w:ascii="Arial" w:cs="Arial" w:eastAsia="Arial" w:hAnsi="Arial"/>
          <w:b/>
          <w:bCs/>
          <w:color w:val="2E8B8B"/>
          <w:sz w:val="24"/>
          <w:szCs w:val="24"/>
        </w:rPr>
        <w:t xml:space="preserve">Monthly Retainer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Monthly</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Includes</w:t>
            </w:r>
          </w:p>
        </w:tc>
      </w:tr>
      <w:tr>
        <w:tc>
          <w:tcPr>
            <w:tcW w:type="dxa" w:w="50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Institute for Spine Surgery — Social + Content</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$2,800</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Dual-track (patients + MDs), 3 platforms</w:t>
            </w:r>
          </w:p>
        </w:tc>
      </w:tr>
      <w:tr>
        <w:tc>
          <w:tcPr>
            <w:tcW w:type="dxa" w:w="50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Cognifica Health — Social + Content (TMS Priority)</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$3,200</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Higher volume, FDA-compliant TMS content</w:t>
            </w:r>
          </w:p>
        </w:tc>
      </w:tr>
      <w:tr>
        <w:tc>
          <w:tcPr>
            <w:tcW w:type="dxa" w:w="50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Kronos Health — LinkedIn B2B Content</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$1,200</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LinkedIn only, thought leadership</w:t>
            </w:r>
          </w:p>
        </w:tc>
      </w:tr>
      <w:tr>
        <w:tc>
          <w:tcPr>
            <w:tcW w:type="dxa" w:w="50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Email Newsletters (All Brands)</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$2,000</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4 newsletters/mo, design + copy</w:t>
            </w:r>
          </w:p>
        </w:tc>
      </w:tr>
      <w:tr>
        <w:tc>
          <w:tcPr>
            <w:tcW w:type="dxa" w:w="50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Website Content Updates (Quarterly, Amortized)</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$1,200</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All 3 sites, SEO, blog content</w:t>
            </w:r>
          </w:p>
        </w:tc>
      </w:tr>
      <w:tr>
        <w:tc>
          <w:tcPr>
            <w:tcW w:type="dxa" w:w="50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Google Ads Management</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$1,500</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8"/>
                <w:szCs w:val="18"/>
              </w:rPr>
              <w:t xml:space="preserve">ISS + Cognifica campaigns</w:t>
            </w:r>
          </w:p>
        </w:tc>
      </w:tr>
      <w:tr>
        <w:tc>
          <w:tcPr>
            <w:tcW w:type="dxa" w:w="504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MONTHLY RETAINER TOTAL</w:t>
            </w:r>
          </w:p>
        </w:tc>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$11,900</w:t>
            </w:r>
          </w:p>
        </w:tc>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$142,800/year</w:t>
            </w:r>
          </w:p>
        </w:tc>
      </w:tr>
    </w:tbl>
    <w:p>
      <w:pPr>
        <w:spacing w:before="300"/>
      </w:pPr>
    </w:p>
    <w:p>
      <w:pPr>
        <w:spacing w:before="300" w:after="150"/>
      </w:pPr>
      <w:r>
        <w:rPr>
          <w:rFonts w:ascii="Arial" w:cs="Arial" w:eastAsia="Arial" w:hAnsi="Arial"/>
          <w:b/>
          <w:bCs/>
          <w:color w:val="2E8B8B"/>
          <w:sz w:val="24"/>
          <w:szCs w:val="24"/>
        </w:rPr>
        <w:t xml:space="preserve">One-Time Launch Investment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c>
          <w:tcPr>
            <w:tcW w:type="dxa" w:w="7560"/>
            <w:tcBorders>
              <w:top w:val="single" w:color="CCCCCC" w:sz="1"/>
              <w:left w:val="single" w:color="CCCCCC" w:sz="1"/>
              <w:bottom w:val="single" w:color="CCCCCC" w:sz="1"/>
              <w:right w:val="single" w:color="CCCCCC" w:sz="1"/>
            </w:tcBorders>
            <w:shd w:fill="2E8B8B" w:val="clear"/>
            <w:tcMar>
              <w:top w:type="dxa" w:w="100"/>
              <w:left w:type="dxa" w:w="150"/>
              <w:bottom w:type="dxa" w:w="100"/>
              <w:right w:type="dxa" w:w="150"/>
            </w:tcMar>
          </w:tcPr>
          <w:p>
            <w:r>
              <w:rPr>
                <w:rFonts w:ascii="Arial" w:cs="Arial" w:eastAsia="Arial" w:hAnsi="Arial"/>
                <w:b/>
                <w:bCs/>
                <w:color w:val="FFFFFF"/>
                <w:sz w:val="20"/>
                <w:szCs w:val="20"/>
              </w:rPr>
              <w:t xml:space="preserve">Item</w:t>
            </w:r>
          </w:p>
        </w:tc>
        <w:tc>
          <w:tcPr>
            <w:tcW w:type="dxa" w:w="2520"/>
            <w:tcBorders>
              <w:top w:val="single" w:color="CCCCCC" w:sz="1"/>
              <w:left w:val="single" w:color="CCCCCC" w:sz="1"/>
              <w:bottom w:val="single" w:color="CCCCCC" w:sz="1"/>
              <w:right w:val="single" w:color="CCCCCC" w:sz="1"/>
            </w:tcBorders>
            <w:shd w:fill="2E8B8B" w:val="clear"/>
            <w:tcMar>
              <w:top w:type="dxa" w:w="100"/>
              <w:left w:type="dxa" w:w="150"/>
              <w:bottom w:type="dxa" w:w="100"/>
              <w:right w:type="dxa" w:w="150"/>
            </w:tcMar>
          </w:tcPr>
          <w:p>
            <w:r>
              <w:rPr>
                <w:rFonts w:ascii="Arial" w:cs="Arial" w:eastAsia="Arial" w:hAnsi="Arial"/>
                <w:b/>
                <w:bCs/>
                <w:color w:val="FFFFFF"/>
                <w:sz w:val="20"/>
                <w:szCs w:val="20"/>
              </w:rPr>
              <w:t xml:space="preserve">Investment</w:t>
            </w:r>
          </w:p>
        </w:tc>
      </w:tr>
      <w:tr>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NeuroStar TMS Launch Campaign (landing pages, launch content, campaign setup, initial ad creative)</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$7,500</w:t>
            </w:r>
          </w:p>
        </w:tc>
      </w:tr>
      <w:tr>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Onboarding and Brand Audit (all 3 brands — content audit, competitive analysis, strategy development)</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$3,500</w:t>
            </w:r>
          </w:p>
        </w:tc>
      </w:tr>
      <w:tr>
        <w:tc>
          <w:tcPr>
            <w:tcW w:type="dxa" w:w="75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TOTAL ONE-TIME</w:t>
            </w:r>
          </w:p>
        </w:tc>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$11,000</w:t>
            </w:r>
          </w:p>
        </w:tc>
      </w:tr>
    </w:tbl>
    <w:p>
      <w:pPr>
        <w:spacing w:before="300"/>
      </w:pPr>
    </w:p>
    <w:p>
      <w:pPr>
        <w:spacing w:before="300" w:after="150"/>
      </w:pPr>
      <w:r>
        <w:rPr>
          <w:rFonts w:ascii="Arial" w:cs="Arial" w:eastAsia="Arial" w:hAnsi="Arial"/>
          <w:b/>
          <w:bCs/>
          <w:color w:val="2E8B8B"/>
          <w:sz w:val="24"/>
          <w:szCs w:val="24"/>
        </w:rPr>
        <w:t xml:space="preserve">Advertising Spend (Billed Separately)</w:t>
      </w:r>
    </w:p>
    <w:p>
      <w:pPr>
        <w:spacing w:after="150"/>
        <w:jc w:val="left"/>
      </w:pPr>
      <w:r>
        <w:rPr>
          <w:rFonts w:ascii="Arial" w:cs="Arial" w:eastAsia="Arial" w:hAnsi="Arial"/>
          <w:sz w:val="22"/>
          <w:szCs w:val="22"/>
        </w:rPr>
        <w:t xml:space="preserve">Google Ads spend is billed separately at cost with no markup. Recommended monthly ad budgets: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ISS (Spine Surgery): $1,000-1,500/month — supplemental to referrals, captures active searchers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Cognifica (TMS): $2,500-3,500/month — primary patient acquisition channel, high-intent searches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Total Recommended Ad Spend: $3,500-5,000/month</w:t>
      </w:r>
    </w:p>
    <w:p>
      <w:pPr>
        <w:spacing w:before="300"/>
      </w:pPr>
    </w:p>
    <w:p>
      <w:pPr>
        <w:spacing w:before="300" w:after="150"/>
      </w:pPr>
      <w:r>
        <w:rPr>
          <w:rFonts w:ascii="Arial" w:cs="Arial" w:eastAsia="Arial" w:hAnsi="Arial"/>
          <w:b/>
          <w:bCs/>
          <w:color w:val="2E8B8B"/>
          <w:sz w:val="24"/>
          <w:szCs w:val="24"/>
        </w:rPr>
        <w:t xml:space="preserve">Year 1 Total Investment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Monthly Retainer x 12 months</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$142,800</w:t>
            </w:r>
          </w:p>
        </w:tc>
      </w:tr>
      <w:tr>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One-Time Launch and Onboarding</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$11,000</w:t>
            </w:r>
          </w:p>
        </w:tc>
      </w:tr>
      <w:tr>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Estimated Ad Spend ($4,000/mo avg x 12)</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$48,000</w:t>
            </w:r>
          </w:p>
        </w:tc>
      </w:tr>
      <w:tr>
        <w:tc>
          <w:tcPr>
            <w:tcW w:type="dxa" w:w="7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YEAR 1 TOTAL INVESTMENT</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$201,800</w:t>
            </w:r>
          </w:p>
        </w:tc>
      </w:tr>
    </w:tbl>
    <w:p>
      <w:pPr>
        <w:spacing w:before="200"/>
      </w:pPr>
    </w:p>
    <w:p>
      <w:pPr>
        <w:spacing w:after="150"/>
        <w:jc w:val="left"/>
      </w:pPr>
      <w:r>
        <w:rPr>
          <w:rFonts w:ascii="Arial" w:cs="Arial" w:eastAsia="Arial" w:hAnsi="Arial"/>
          <w:sz w:val="22"/>
          <w:szCs w:val="22"/>
        </w:rPr>
        <w:t xml:space="preserve">ROI Context: A single spine surgery generates $30,000-100,000+ in revenue. A TMS treatment course generates $10,000-15,000. This investment is justified by acquiring just a handful of additional patients per month.</w:t>
      </w:r>
    </w:p>
    <w:p>
      <w:r>
        <w:br w:type="page"/>
      </w:r>
    </w:p>
    <w:p>
      <w:pPr>
        <w:pBdr>
          <w:bottom w:val="single" w:color="2E8B8B" w:sz="6"/>
        </w:pBdr>
        <w:spacing w:before="400" w:after="200"/>
      </w:pPr>
      <w:r>
        <w:rPr>
          <w:rFonts w:ascii="Arial" w:cs="Arial" w:eastAsia="Arial" w:hAnsi="Arial"/>
          <w:b/>
          <w:bCs/>
          <w:color w:val="1E3A5F"/>
          <w:sz w:val="28"/>
          <w:szCs w:val="28"/>
        </w:rPr>
        <w:t xml:space="preserve">Terms and Next Steps</w:t>
      </w:r>
    </w:p>
    <w:p>
      <w:pPr>
        <w:spacing w:before="300" w:after="150"/>
      </w:pPr>
      <w:r>
        <w:rPr>
          <w:rFonts w:ascii="Arial" w:cs="Arial" w:eastAsia="Arial" w:hAnsi="Arial"/>
          <w:b/>
          <w:bCs/>
          <w:color w:val="2E8B8B"/>
          <w:sz w:val="24"/>
          <w:szCs w:val="24"/>
        </w:rPr>
        <w:t xml:space="preserve">Engagement Terms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Initial term: 12-month agreement with quarterly review meetings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Payment: Monthly invoicing, net 15 terms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One-time fees: Due upon contract signing</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Ad spend: Billed separately, pass-through at cost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Reporting: Monthly performance reports with strategic recommendations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Point of contact: Dedicated account manager for all three brands</w:t>
      </w:r>
    </w:p>
    <w:p>
      <w:pPr>
        <w:spacing w:before="200"/>
      </w:pPr>
    </w:p>
    <w:p>
      <w:pPr>
        <w:spacing w:before="300" w:after="150"/>
      </w:pPr>
      <w:r>
        <w:rPr>
          <w:rFonts w:ascii="Arial" w:cs="Arial" w:eastAsia="Arial" w:hAnsi="Arial"/>
          <w:b/>
          <w:bCs/>
          <w:color w:val="2E8B8B"/>
          <w:sz w:val="24"/>
          <w:szCs w:val="24"/>
        </w:rPr>
        <w:t xml:space="preserve">Compliance and Legal</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Business Associate Agreement (BAA) included for HIPAA compliance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All content subject to client clinical review before publication</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FDA-compliant messaging framework for TMS and medical device content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Documentation retained for compliance audit purposes</w:t>
      </w:r>
    </w:p>
    <w:p>
      <w:pPr>
        <w:spacing w:before="200"/>
      </w:pPr>
    </w:p>
    <w:p>
      <w:pPr>
        <w:spacing w:before="300" w:after="150"/>
      </w:pPr>
      <w:r>
        <w:rPr>
          <w:rFonts w:ascii="Arial" w:cs="Arial" w:eastAsia="Arial" w:hAnsi="Arial"/>
          <w:b/>
          <w:bCs/>
          <w:color w:val="2E8B8B"/>
          <w:sz w:val="24"/>
          <w:szCs w:val="24"/>
        </w:rPr>
        <w:t xml:space="preserve">What We Need to Get Started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Signed agreement and BAA</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Access to existing social media accounts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Google Ads account access or authorization to create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Website CMS credentials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Designated clinical reviewer for content approvals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Existing patient testimonials with HIPAA releases on file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Brand assets (logos, colors, fonts)</w:t>
      </w:r>
    </w:p>
    <w:p>
      <w:pPr>
        <w:spacing w:before="200"/>
      </w:pPr>
    </w:p>
    <w:p>
      <w:pPr>
        <w:spacing w:before="300" w:after="150"/>
      </w:pPr>
      <w:r>
        <w:rPr>
          <w:rFonts w:ascii="Arial" w:cs="Arial" w:eastAsia="Arial" w:hAnsi="Arial"/>
          <w:b/>
          <w:bCs/>
          <w:color w:val="2E8B8B"/>
          <w:sz w:val="24"/>
          <w:szCs w:val="24"/>
        </w:rPr>
        <w:t xml:space="preserve">Timeline to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Week 1-2</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Onboarding, account access, brand audit, content calendar development, clinical review process setup</w:t>
            </w:r>
          </w:p>
        </w:tc>
      </w:tr>
      <w:tr>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Week 3-4</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First social posts live, Google Ads campaigns in build, TMS landing page draft for review</w:t>
            </w:r>
          </w:p>
        </w:tc>
      </w:tr>
      <w:tr>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Month 2</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Full social cadence live, Google Ads active, first newsletters deployed, TMS awareness campaign begins</w:t>
            </w:r>
          </w:p>
        </w:tc>
      </w:tr>
      <w:tr>
        <w:tc>
          <w:tcPr>
            <w:tcW w:type="dxa" w:w="252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Month 3+</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Ongoing optimization, TMS full launch, quarterly website updates, monthly reporting and strategy calls</w:t>
            </w:r>
          </w:p>
        </w:tc>
      </w:tr>
    </w:tbl>
    <w:p>
      <w:pPr>
        <w:spacing w:before="400"/>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spacing w:after="150"/>
              <w:jc w:val="center"/>
            </w:pPr>
            <w:r>
              <w:rPr>
                <w:rFonts w:ascii="Arial" w:cs="Arial" w:eastAsia="Arial" w:hAnsi="Arial"/>
                <w:b/>
                <w:bCs/>
                <w:color w:val="FFFFFF"/>
                <w:sz w:val="28"/>
                <w:szCs w:val="28"/>
              </w:rPr>
              <w:t xml:space="preserve">Ready to Move Forward?</w:t>
            </w:r>
          </w:p>
          <w:p>
            <w:pPr>
              <w:spacing w:after="100"/>
              <w:jc w:val="center"/>
            </w:pPr>
            <w:r>
              <w:rPr>
                <w:rFonts w:ascii="Arial" w:cs="Arial" w:eastAsia="Arial" w:hAnsi="Arial"/>
                <w:color w:val="FFFFFF"/>
                <w:sz w:val="22"/>
                <w:szCs w:val="22"/>
              </w:rPr>
              <w:t xml:space="preserve">Contact George Stofko at UXUI Design Corp</w:t>
            </w:r>
          </w:p>
          <w:p>
            <w:pPr>
              <w:jc w:val="center"/>
            </w:pPr>
            <w:r>
              <w:rPr>
                <w:rFonts w:ascii="Arial" w:cs="Arial" w:eastAsia="Arial" w:hAnsi="Arial"/>
                <w:color w:val="FFFFFF"/>
                <w:sz w:val="22"/>
                <w:szCs w:val="22"/>
              </w:rPr>
              <w:t xml:space="preserve">george@uxuidesigncorp.com</w:t>
            </w:r>
          </w:p>
        </w:tc>
      </w:tr>
    </w:tbl>
    <w:p>
      <w:pPr>
        <w:spacing w:before="400"/>
      </w:pPr>
    </w:p>
    <w:p>
      <w:pPr>
        <w:spacing w:after="150"/>
        <w:jc w:val="left"/>
      </w:pPr>
      <w:r>
        <w:rPr>
          <w:rFonts w:ascii="Arial" w:cs="Arial" w:eastAsia="Arial" w:hAnsi="Arial"/>
          <w:color w:val="999999"/>
          <w:sz w:val="22"/>
          <w:szCs w:val="22"/>
        </w:rPr>
        <w:t xml:space="preserve">This proposal is valid for 30 days from the date of delivery.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4"/>
      </w:pBdr>
      <w:spacing w:after="200"/>
      <w:jc w:val="right"/>
    </w:pPr>
    <w:r>
      <w:rPr>
        <w:rFonts w:ascii="Arial" w:cs="Arial" w:eastAsia="Arial" w:hAnsi="Arial"/>
        <w:b/>
        <w:bCs/>
        <w:color w:val="1E3A5F"/>
        <w:sz w:val="20"/>
        <w:szCs w:val="20"/>
      </w:rPr>
      <w:t xml:space="preserve">UXUI Design Corp</w:t>
    </w:r>
    <w:r>
      <w:rPr>
        <w:rFonts w:ascii="Arial" w:cs="Arial" w:eastAsia="Arial" w:hAnsi="Arial"/>
        <w:color w:val="666666"/>
        <w:sz w:val="20"/>
        <w:szCs w:val="20"/>
      </w:rPr>
      <w:t xml:space="preserve">  |  Healthcare Marketing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2026-02-16T00:32:08.676Z</dcterms:created>
  <dcterms:modified xsi:type="dcterms:W3CDTF">2026-02-16T00:32:08.677Z</dcterms:modified>
</cp:coreProperties>
</file>

<file path=docProps/custom.xml><?xml version="1.0" encoding="utf-8"?>
<Properties xmlns="http://schemas.openxmlformats.org/officeDocument/2006/custom-properties" xmlns:vt="http://schemas.openxmlformats.org/officeDocument/2006/docPropsVTypes"/>
</file>