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3A5F"/>
          <w:sz w:val="40"/>
          <w:szCs w:val="40"/>
        </w:rPr>
        <w:t xml:space="preserve">MEETING PREP</w:t>
      </w:r>
    </w:p>
    <w:p>
      <w:pPr>
        <w:spacing w:after="100"/>
        <w:jc w:val="center"/>
      </w:pPr>
      <w:r>
        <w:rPr>
          <w:rFonts w:ascii="Arial" w:cs="Arial" w:eastAsia="Arial" w:hAnsi="Arial"/>
          <w:color w:val="2E8B8B"/>
          <w:sz w:val="28"/>
          <w:szCs w:val="28"/>
        </w:rPr>
        <w:t xml:space="preserve">Dr. John Abrahams Healthcare Marketing</w:t>
      </w:r>
    </w:p>
    <w:p>
      <w:pPr>
        <w:spacing w:after="400"/>
        <w:jc w:val="center"/>
      </w:pPr>
      <w:r>
        <w:rPr>
          <w:rFonts w:ascii="Arial" w:cs="Arial" w:eastAsia="Arial" w:hAnsi="Arial"/>
          <w:color w:val="666666"/>
          <w:sz w:val="22"/>
          <w:szCs w:val="22"/>
        </w:rPr>
        <w:t xml:space="preserve">Google Meet | February 2026</w:t>
      </w:r>
    </w:p>
    <w:p>
      <w:pPr>
        <w:pBdr>
          <w:bottom w:val="single" w:color="2E8B8B" w:sz="8"/>
        </w:pBdr>
        <w:spacing w:before="400" w:after="200"/>
      </w:pPr>
      <w:r>
        <w:rPr>
          <w:rFonts w:ascii="Arial" w:cs="Arial" w:eastAsia="Arial" w:hAnsi="Arial"/>
          <w:b/>
          <w:bCs/>
          <w:color w:val="1E3A5F"/>
          <w:sz w:val="32"/>
          <w:szCs w:val="32"/>
        </w:rPr>
        <w:t xml:space="preserve">Quick Facts About Dr. Abrahams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Board-certified neurosurgeon, in practice since 2002</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Performs 150+ surgical procedures per year (primarily cervical and lumbar fusions)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Past President of Brain &amp; Spine Surgeons of New York (BSSNY) 2015-2023</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Biomedical entrepreneur with multiple patents and medical device companies (EndoMedix, Capseus, DTX Medical)</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Named one of "Top 10 Spine/Orthopedic Surgeon Tech Entrepreneurs" by Becker's Spine Review</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Founded the Brain &amp; Spine Research Institute in 2009</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Hospital affiliations: Northern Westchester, Westchester Medical Center, White Plains Hospital</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Just purchased TWO NeuroStar TMS machines for Cognifica (significant capital investment)</w:t>
      </w:r>
    </w:p>
    <w:p>
      <w:r>
        <w:br w:type="page"/>
      </w:r>
    </w:p>
    <w:p>
      <w:pPr>
        <w:pBdr>
          <w:bottom w:val="single" w:color="2E8B8B" w:sz="8"/>
        </w:pBdr>
        <w:spacing w:before="400" w:after="200"/>
      </w:pPr>
      <w:r>
        <w:rPr>
          <w:rFonts w:ascii="Arial" w:cs="Arial" w:eastAsia="Arial" w:hAnsi="Arial"/>
          <w:b/>
          <w:bCs/>
          <w:color w:val="1E3A5F"/>
          <w:sz w:val="32"/>
          <w:szCs w:val="32"/>
        </w:rPr>
        <w:t xml:space="preserve">1. Institute for Spine Surgery (iss.health)</w:t>
      </w:r>
    </w:p>
    <w:p>
      <w:pPr>
        <w:spacing w:before="300" w:after="150"/>
      </w:pPr>
      <w:r>
        <w:rPr>
          <w:rFonts w:ascii="Arial" w:cs="Arial" w:eastAsia="Arial" w:hAnsi="Arial"/>
          <w:b/>
          <w:bCs/>
          <w:color w:val="2E8B8B"/>
          <w:sz w:val="26"/>
          <w:szCs w:val="26"/>
        </w:rPr>
        <w:t xml:space="preserve">The Reality of Spine Surgery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Key Insight:</w:t>
            </w:r>
          </w:p>
          <w:p>
            <w:r>
              <w:rPr>
                <w:rFonts w:ascii="Arial" w:cs="Arial" w:eastAsia="Arial" w:hAnsi="Arial"/>
                <w:sz w:val="21"/>
                <w:szCs w:val="21"/>
              </w:rPr>
              <w:t xml:space="preserve">80-90% of spine surgery patients come through physician referrals, not direct consumer marketing. PCPs, pain management doctors, orthopedists, and neurologists are the real decision-makers. Patient marketing builds awareness and reputation, but referral relationships drive volume.</w:t>
            </w:r>
          </w:p>
        </w:tc>
      </w:tr>
    </w:tbl>
    <w:p>
      <w:pPr>
        <w:spacing w:after="150"/>
      </w:pPr>
    </w:p>
    <w:p>
      <w:pPr>
        <w:spacing w:after="150"/>
      </w:pPr>
      <w:r>
        <w:rPr>
          <w:rFonts w:ascii="Arial" w:cs="Arial" w:eastAsia="Arial" w:hAnsi="Arial"/>
          <w:sz w:val="22"/>
          <w:szCs w:val="22"/>
        </w:rPr>
        <w:t xml:space="preserve">This means we need a DUAL-TRACK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TRACK 1: Patient Awareness</w:t>
            </w:r>
          </w:p>
        </w:tc>
        <w:tc>
          <w:tcPr>
            <w:tcW w:type="dxa" w:w="4680"/>
            <w:tcBorders>
              <w:top w:val="single" w:color="CCCCCC" w:sz="1"/>
              <w:left w:val="single" w:color="CCCCCC" w:sz="1"/>
              <w:bottom w:val="single" w:color="CCCCCC" w:sz="1"/>
              <w:right w:val="single" w:color="CCCCCC" w:sz="1"/>
            </w:tcBorders>
            <w:shd w:fill="2E8B8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TRACK 2: Physician Referrals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80"/>
            </w:pPr>
            <w:r>
              <w:rPr>
                <w:rFonts w:ascii="Arial" w:cs="Arial" w:eastAsia="Arial" w:hAnsi="Arial"/>
                <w:b/>
                <w:bCs/>
                <w:sz w:val="20"/>
                <w:szCs w:val="20"/>
              </w:rPr>
              <w:t xml:space="preserve">Goal: </w:t>
            </w:r>
            <w:r>
              <w:rPr>
                <w:rFonts w:ascii="Arial" w:cs="Arial" w:eastAsia="Arial" w:hAnsi="Arial"/>
                <w:sz w:val="20"/>
                <w:szCs w:val="20"/>
              </w:rPr>
              <w:t xml:space="preserve">Reputation building, Google presence, patient confidence</w:t>
            </w:r>
          </w:p>
          <w:p>
            <w:pPr>
              <w:spacing w:after="80"/>
            </w:pPr>
            <w:r>
              <w:rPr>
                <w:rFonts w:ascii="Arial" w:cs="Arial" w:eastAsia="Arial" w:hAnsi="Arial"/>
                <w:b/>
                <w:bCs/>
                <w:sz w:val="20"/>
                <w:szCs w:val="20"/>
              </w:rPr>
              <w:t xml:space="preserve">Channels: </w:t>
            </w:r>
            <w:r>
              <w:rPr>
                <w:rFonts w:ascii="Arial" w:cs="Arial" w:eastAsia="Arial" w:hAnsi="Arial"/>
                <w:sz w:val="20"/>
                <w:szCs w:val="20"/>
              </w:rPr>
              <w:t xml:space="preserve">Facebook, Instagram, Google Ads, website SEO</w:t>
            </w:r>
          </w:p>
          <w:p>
            <w:r>
              <w:rPr>
                <w:rFonts w:ascii="Arial" w:cs="Arial" w:eastAsia="Arial" w:hAnsi="Arial"/>
                <w:b/>
                <w:bCs/>
                <w:sz w:val="20"/>
                <w:szCs w:val="20"/>
              </w:rPr>
              <w:t xml:space="preserve">Content: </w:t>
            </w:r>
            <w:r>
              <w:rPr>
                <w:rFonts w:ascii="Arial" w:cs="Arial" w:eastAsia="Arial" w:hAnsi="Arial"/>
                <w:sz w:val="20"/>
                <w:szCs w:val="20"/>
              </w:rPr>
              <w:t xml:space="preserve">Patient stories, educational videos, "what to expect," Dr. Abrahams' expertise</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80"/>
            </w:pPr>
            <w:r>
              <w:rPr>
                <w:rFonts w:ascii="Arial" w:cs="Arial" w:eastAsia="Arial" w:hAnsi="Arial"/>
                <w:b/>
                <w:bCs/>
                <w:sz w:val="20"/>
                <w:szCs w:val="20"/>
              </w:rPr>
              <w:t xml:space="preserve">Goal: </w:t>
            </w:r>
            <w:r>
              <w:rPr>
                <w:rFonts w:ascii="Arial" w:cs="Arial" w:eastAsia="Arial" w:hAnsi="Arial"/>
                <w:sz w:val="20"/>
                <w:szCs w:val="20"/>
              </w:rPr>
              <w:t xml:space="preserve">Stay top-of-mind with referring physicians</w:t>
            </w:r>
          </w:p>
          <w:p>
            <w:pPr>
              <w:spacing w:after="80"/>
            </w:pPr>
            <w:r>
              <w:rPr>
                <w:rFonts w:ascii="Arial" w:cs="Arial" w:eastAsia="Arial" w:hAnsi="Arial"/>
                <w:b/>
                <w:bCs/>
                <w:sz w:val="20"/>
                <w:szCs w:val="20"/>
              </w:rPr>
              <w:t xml:space="preserve">Channels: </w:t>
            </w:r>
            <w:r>
              <w:rPr>
                <w:rFonts w:ascii="Arial" w:cs="Arial" w:eastAsia="Arial" w:hAnsi="Arial"/>
                <w:sz w:val="20"/>
                <w:szCs w:val="20"/>
              </w:rPr>
              <w:t xml:space="preserve">LinkedIn, email newsletters, CME content, direct outreach</w:t>
            </w:r>
          </w:p>
          <w:p>
            <w:r>
              <w:rPr>
                <w:rFonts w:ascii="Arial" w:cs="Arial" w:eastAsia="Arial" w:hAnsi="Arial"/>
                <w:b/>
                <w:bCs/>
                <w:sz w:val="20"/>
                <w:szCs w:val="20"/>
              </w:rPr>
              <w:t xml:space="preserve">Content: </w:t>
            </w:r>
            <w:r>
              <w:rPr>
                <w:rFonts w:ascii="Arial" w:cs="Arial" w:eastAsia="Arial" w:hAnsi="Arial"/>
                <w:sz w:val="20"/>
                <w:szCs w:val="20"/>
              </w:rPr>
              <w:t xml:space="preserve">Case studies, surgical innovations, outcomes data, "when to refer" guides</w:t>
            </w:r>
          </w:p>
        </w:tc>
      </w:tr>
    </w:tbl>
    <w:p>
      <w:pPr>
        <w:spacing w:before="250"/>
      </w:pPr>
    </w:p>
    <w:p>
      <w:pPr>
        <w:spacing w:before="250" w:after="120"/>
      </w:pPr>
      <w:r>
        <w:rPr>
          <w:rFonts w:ascii="Arial" w:cs="Arial" w:eastAsia="Arial" w:hAnsi="Arial"/>
          <w:b/>
          <w:bCs/>
          <w:color w:val="1E3A5F"/>
          <w:sz w:val="24"/>
          <w:szCs w:val="24"/>
        </w:rPr>
        <w:t xml:space="preserve">Sample Social Posts - Patient Track (Facebook/Instagram)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Post 1: Patient Story (with HIPAA authorization)</w:t>
            </w:r>
          </w:p>
          <w:p>
            <w:r>
              <w:rPr>
                <w:rFonts w:ascii="Arial" w:cs="Arial" w:eastAsia="Arial" w:hAnsi="Arial"/>
                <w:sz w:val="21"/>
                <w:szCs w:val="21"/>
              </w:rPr>
              <w:t xml:space="preserve">"After 8 years of chronic back pain, I finally found relief." Faith came to us after trying everything — physical therapy, injections, medications. Her L4-L5 disc herniation was affecting her quality of life. Three months post-surgery, she's back to playing with her grandchildren. If conservative treatments aren't working, it may be time for a conversation. Link in bio to schedule a consultation. #SpineSurgery #BackPainRelief #WestchesterHealth</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Post 2: Educational Content</w:t>
            </w:r>
          </w:p>
          <w:p>
            <w:r>
              <w:rPr>
                <w:rFonts w:ascii="Arial" w:cs="Arial" w:eastAsia="Arial" w:hAnsi="Arial"/>
                <w:sz w:val="21"/>
                <w:szCs w:val="21"/>
              </w:rPr>
              <w:t xml:space="preserve">What's the difference between a bulging disc and a herniated disc? 🤔 Many patients use these terms interchangeably, but they're actually different conditions with different treatment paths. A bulging disc is like a hamburger that's too big for its bun — it extends out but the outer layer is intact. A herniated disc has a tear in that outer layer, allowing the inner material to leak out and potentially compress nerves. Swipe to learn more about symptoms and when surgery might be necessary. ➡️ #SpineHealth #BackPain #SpineEducation</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Post 3: Innovation/Expertise</w:t>
            </w:r>
          </w:p>
          <w:p>
            <w:r>
              <w:rPr>
                <w:rFonts w:ascii="Arial" w:cs="Arial" w:eastAsia="Arial" w:hAnsi="Arial"/>
                <w:sz w:val="21"/>
                <w:szCs w:val="21"/>
              </w:rPr>
              <w:t xml:space="preserve">Why AI matters in spine surgery. At the Institute for Spine Surgery, we use artificial intelligence to help plan surgical approaches with greater precision. This technology allows us to visualize the spine in 3D, identify optimal screw placement, and minimize recovery time. It's one of many ways Dr. Abrahams brings his background in biomedical engineering to patient care. #MedicalInnovation #SpineSurgery #AIinMedicine</w:t>
            </w:r>
          </w:p>
        </w:tc>
      </w:tr>
    </w:tbl>
    <w:p>
      <w:pPr>
        <w:spacing w:after="150"/>
      </w:pPr>
    </w:p>
    <w:p>
      <w:pPr>
        <w:spacing w:before="200"/>
      </w:pPr>
    </w:p>
    <w:p>
      <w:pPr>
        <w:spacing w:before="250" w:after="120"/>
      </w:pPr>
      <w:r>
        <w:rPr>
          <w:rFonts w:ascii="Arial" w:cs="Arial" w:eastAsia="Arial" w:hAnsi="Arial"/>
          <w:b/>
          <w:bCs/>
          <w:color w:val="1E3A5F"/>
          <w:sz w:val="24"/>
          <w:szCs w:val="24"/>
        </w:rPr>
        <w:t xml:space="preserve">Sample Social Posts - Physician Track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Post 1: Case Study</w:t>
            </w:r>
          </w:p>
          <w:p>
            <w:r>
              <w:rPr>
                <w:rFonts w:ascii="Arial" w:cs="Arial" w:eastAsia="Arial" w:hAnsi="Arial"/>
                <w:sz w:val="21"/>
                <w:szCs w:val="21"/>
              </w:rPr>
              <w:t xml:space="preserve">Complex revision case: 67-year-old male with failed prior L4-S1 fusion presenting with adjacent segment disease and progressive neurogenic claudication. Initial fusion performed elsewhere 2014 with persistent hardware. Our approach: Extended fusion to L2 with TLIF technique, addressing both the mechanical failure and neural compression. Key learning: Early identification of pseudarthrosis in revision cases requires dynamic imaging. 6-month follow-up shows solid fusion and significant functional improvement. Happy to discuss approach with colleagues facing similar cases. #SpineSurgery #ComplexSpine #SurgicalOutcomes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Post 2: When to Refer Guide</w:t>
            </w:r>
          </w:p>
          <w:p>
            <w:r>
              <w:rPr>
                <w:rFonts w:ascii="Arial" w:cs="Arial" w:eastAsia="Arial" w:hAnsi="Arial"/>
                <w:sz w:val="21"/>
                <w:szCs w:val="21"/>
              </w:rPr>
              <w:t xml:space="preserve">For my colleagues in primary care and pain management: When should back pain become a surgical referral? RED FLAGS requiring urgent evaluation: ⚠️ Progressive motor weakness, ⚠️ Bowel/bladder dysfunction, ⚠️ Saddle anesthesia. SURGICAL CONSULTATION warranted: • Failed 6-8 weeks of conservative care with imaging correlation, • Radiculopathy with EMG confirmation, • Functional decline affecting work/daily activities. We're always happy to see patients for evaluation — surgery is recommended in fewer than 20% of consultations. Sometimes the most valuable outcome is ruling surgery out. DM for our referral coordinator contact. #PhysicianEducation #SpineReferrals #PatientCare</w:t>
            </w:r>
          </w:p>
        </w:tc>
      </w:tr>
    </w:tbl>
    <w:p>
      <w:pPr>
        <w:spacing w:after="150"/>
      </w:pPr>
    </w:p>
    <w:p>
      <w:pPr>
        <w:spacing w:before="200"/>
      </w:pPr>
    </w:p>
    <w:p>
      <w:pPr>
        <w:spacing w:before="250" w:after="120"/>
      </w:pPr>
      <w:r>
        <w:rPr>
          <w:rFonts w:ascii="Arial" w:cs="Arial" w:eastAsia="Arial" w:hAnsi="Arial"/>
          <w:b/>
          <w:bCs/>
          <w:color w:val="1E3A5F"/>
          <w:sz w:val="24"/>
          <w:szCs w:val="24"/>
        </w:rPr>
        <w:t xml:space="preserve">Newsletter Strategy</w:t>
      </w:r>
    </w:p>
    <w:p>
      <w:pPr>
        <w:spacing w:after="150"/>
      </w:pPr>
      <w:r>
        <w:rPr>
          <w:rFonts w:ascii="Arial" w:cs="Arial" w:eastAsia="Arial" w:hAnsi="Arial"/>
          <w:sz w:val="22"/>
          <w:szCs w:val="22"/>
        </w:rPr>
        <w:t xml:space="preserve">Two separate newsletters with different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pPr>
              <w:spacing w:after="100"/>
            </w:pPr>
            <w:r>
              <w:rPr>
                <w:rFonts w:ascii="Arial" w:cs="Arial" w:eastAsia="Arial" w:hAnsi="Arial"/>
                <w:b/>
                <w:bCs/>
                <w:sz w:val="22"/>
                <w:szCs w:val="22"/>
              </w:rPr>
              <w:t xml:space="preserve">Patient Newsletter</w:t>
            </w:r>
          </w:p>
          <w:p>
            <w:pPr>
              <w:spacing w:after="80"/>
            </w:pPr>
            <w:r>
              <w:rPr>
                <w:rFonts w:ascii="Arial" w:cs="Arial" w:eastAsia="Arial" w:hAnsi="Arial"/>
                <w:sz w:val="20"/>
                <w:szCs w:val="20"/>
              </w:rPr>
              <w:t xml:space="preserve">Monthly, focused on:</w:t>
            </w:r>
          </w:p>
          <w:p>
            <w:pPr>
              <w:spacing w:after="50"/>
            </w:pPr>
            <w:r>
              <w:rPr>
                <w:rFonts w:ascii="Arial" w:cs="Arial" w:eastAsia="Arial" w:hAnsi="Arial"/>
                <w:sz w:val="20"/>
                <w:szCs w:val="20"/>
              </w:rPr>
              <w:t xml:space="preserve">• Spine health tips</w:t>
            </w:r>
          </w:p>
          <w:p>
            <w:pPr>
              <w:spacing w:after="50"/>
            </w:pPr>
            <w:r>
              <w:rPr>
                <w:rFonts w:ascii="Arial" w:cs="Arial" w:eastAsia="Arial" w:hAnsi="Arial"/>
                <w:sz w:val="20"/>
                <w:szCs w:val="20"/>
              </w:rPr>
              <w:t xml:space="preserve">• Patient success stories</w:t>
            </w:r>
          </w:p>
          <w:p>
            <w:pPr>
              <w:spacing w:after="50"/>
            </w:pPr>
            <w:r>
              <w:rPr>
                <w:rFonts w:ascii="Arial" w:cs="Arial" w:eastAsia="Arial" w:hAnsi="Arial"/>
                <w:sz w:val="20"/>
                <w:szCs w:val="20"/>
              </w:rPr>
              <w:t xml:space="preserve">• New services/technology</w:t>
            </w:r>
          </w:p>
          <w:p>
            <w:pPr>
              <w:spacing w:after="50"/>
            </w:pPr>
            <w:r>
              <w:rPr>
                <w:rFonts w:ascii="Arial" w:cs="Arial" w:eastAsia="Arial" w:hAnsi="Arial"/>
                <w:sz w:val="20"/>
                <w:szCs w:val="20"/>
              </w:rPr>
              <w:t xml:space="preserve">• Office updates</w:t>
            </w:r>
          </w:p>
          <w:p>
            <w:r>
              <w:rPr>
                <w:rFonts w:ascii="Arial" w:cs="Arial" w:eastAsia="Arial" w:hAnsi="Arial"/>
                <w:sz w:val="20"/>
                <w:szCs w:val="20"/>
              </w:rPr>
              <w:t xml:space="preserve">• "Ask Dr. Abrahams" Q&amp;A</w:t>
            </w:r>
          </w:p>
        </w:tc>
        <w:tc>
          <w:tcPr>
            <w:tcW w:type="dxa" w:w="468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pPr>
              <w:spacing w:after="100"/>
            </w:pPr>
            <w:r>
              <w:rPr>
                <w:rFonts w:ascii="Arial" w:cs="Arial" w:eastAsia="Arial" w:hAnsi="Arial"/>
                <w:b/>
                <w:bCs/>
                <w:sz w:val="22"/>
                <w:szCs w:val="22"/>
              </w:rPr>
              <w:t xml:space="preserve">Physician Newsletter</w:t>
            </w:r>
          </w:p>
          <w:p>
            <w:pPr>
              <w:spacing w:after="80"/>
            </w:pPr>
            <w:r>
              <w:rPr>
                <w:rFonts w:ascii="Arial" w:cs="Arial" w:eastAsia="Arial" w:hAnsi="Arial"/>
                <w:sz w:val="20"/>
                <w:szCs w:val="20"/>
              </w:rPr>
              <w:t xml:space="preserve">Quarterly, focused on:</w:t>
            </w:r>
          </w:p>
          <w:p>
            <w:pPr>
              <w:spacing w:after="50"/>
            </w:pPr>
            <w:r>
              <w:rPr>
                <w:rFonts w:ascii="Arial" w:cs="Arial" w:eastAsia="Arial" w:hAnsi="Arial"/>
                <w:sz w:val="20"/>
                <w:szCs w:val="20"/>
              </w:rPr>
              <w:t xml:space="preserve">• Case studies with outcomes</w:t>
            </w:r>
          </w:p>
          <w:p>
            <w:pPr>
              <w:spacing w:after="50"/>
            </w:pPr>
            <w:r>
              <w:rPr>
                <w:rFonts w:ascii="Arial" w:cs="Arial" w:eastAsia="Arial" w:hAnsi="Arial"/>
                <w:sz w:val="20"/>
                <w:szCs w:val="20"/>
              </w:rPr>
              <w:t xml:space="preserve">• Referral criteria updates</w:t>
            </w:r>
          </w:p>
          <w:p>
            <w:pPr>
              <w:spacing w:after="50"/>
            </w:pPr>
            <w:r>
              <w:rPr>
                <w:rFonts w:ascii="Arial" w:cs="Arial" w:eastAsia="Arial" w:hAnsi="Arial"/>
                <w:sz w:val="20"/>
                <w:szCs w:val="20"/>
              </w:rPr>
              <w:t xml:space="preserve">• New techniques/technology</w:t>
            </w:r>
          </w:p>
          <w:p>
            <w:pPr>
              <w:spacing w:after="50"/>
            </w:pPr>
            <w:r>
              <w:rPr>
                <w:rFonts w:ascii="Arial" w:cs="Arial" w:eastAsia="Arial" w:hAnsi="Arial"/>
                <w:sz w:val="20"/>
                <w:szCs w:val="20"/>
              </w:rPr>
              <w:t xml:space="preserve">• CME opportunities</w:t>
            </w:r>
          </w:p>
          <w:p>
            <w:r>
              <w:rPr>
                <w:rFonts w:ascii="Arial" w:cs="Arial" w:eastAsia="Arial" w:hAnsi="Arial"/>
                <w:sz w:val="20"/>
                <w:szCs w:val="20"/>
              </w:rPr>
              <w:t xml:space="preserve">• Research/publications</w:t>
            </w:r>
          </w:p>
        </w:tc>
      </w:tr>
    </w:tbl>
    <w:p>
      <w:pPr>
        <w:spacing w:before="200"/>
      </w:pPr>
    </w:p>
    <w:p>
      <w:pPr>
        <w:spacing w:before="250" w:after="120"/>
      </w:pPr>
      <w:r>
        <w:rPr>
          <w:rFonts w:ascii="Arial" w:cs="Arial" w:eastAsia="Arial" w:hAnsi="Arial"/>
          <w:b/>
          <w:bCs/>
          <w:color w:val="1E3A5F"/>
          <w:sz w:val="24"/>
          <w:szCs w:val="24"/>
        </w:rPr>
        <w:t xml:space="preserve">Google Ads Strategy</w:t>
      </w:r>
    </w:p>
    <w:p>
      <w:pPr>
        <w:spacing w:after="150"/>
      </w:pPr>
      <w:r>
        <w:rPr>
          <w:rFonts w:ascii="Arial" w:cs="Arial" w:eastAsia="Arial" w:hAnsi="Arial"/>
          <w:sz w:val="22"/>
          <w:szCs w:val="22"/>
        </w:rPr>
        <w:t xml:space="preserve">For spine surgery, Google Ads serve two purposes: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Capture patients actively searching ("spine surgeon near me," "back surgery Westchester")</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Build presence for condition-specific searches ("herniated disc treatment," "spinal stenosis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Realistic Expectations:</w:t>
            </w:r>
          </w:p>
          <w:p>
            <w:r>
              <w:rPr>
                <w:rFonts w:ascii="Arial" w:cs="Arial" w:eastAsia="Arial" w:hAnsi="Arial"/>
                <w:sz w:val="21"/>
                <w:szCs w:val="21"/>
              </w:rPr>
              <w:t xml:space="preserve">Healthcare CPC in this market runs $8-25 per click. With a $1,500-2,000/month ad spend, expect 60-150 clicks, yielding maybe 5-15 form submissions, of which 2-5 become consultations. One surgery more than pays for the year's ad spend. This is supplemental to referrals, not a replacement.</w:t>
            </w:r>
          </w:p>
        </w:tc>
      </w:tr>
    </w:tbl>
    <w:p>
      <w:pPr>
        <w:spacing w:after="150"/>
      </w:pPr>
    </w:p>
    <w:p>
      <w:r>
        <w:br w:type="page"/>
      </w:r>
    </w:p>
    <w:p>
      <w:pPr>
        <w:pBdr>
          <w:bottom w:val="single" w:color="2E8B8B" w:sz="8"/>
        </w:pBdr>
        <w:spacing w:before="400" w:after="200"/>
      </w:pPr>
      <w:r>
        <w:rPr>
          <w:rFonts w:ascii="Arial" w:cs="Arial" w:eastAsia="Arial" w:hAnsi="Arial"/>
          <w:b/>
          <w:bCs/>
          <w:color w:val="1E3A5F"/>
          <w:sz w:val="32"/>
          <w:szCs w:val="32"/>
        </w:rPr>
        <w:t xml:space="preserve">2. Cognifica Health (cognifica.health)</w:t>
      </w:r>
    </w:p>
    <w:p>
      <w:pPr>
        <w:spacing w:before="300" w:after="150"/>
      </w:pPr>
      <w:r>
        <w:rPr>
          <w:rFonts w:ascii="Arial" w:cs="Arial" w:eastAsia="Arial" w:hAnsi="Arial"/>
          <w:b/>
          <w:bCs/>
          <w:color w:val="2E8B8B"/>
          <w:sz w:val="26"/>
          <w:szCs w:val="26"/>
        </w:rPr>
        <w:t xml:space="preserve">The Big Opportunity: NeuroStar TMS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Key Insight:</w:t>
            </w:r>
          </w:p>
          <w:p>
            <w:r>
              <w:rPr>
                <w:rFonts w:ascii="Arial" w:cs="Arial" w:eastAsia="Arial" w:hAnsi="Arial"/>
                <w:sz w:val="21"/>
                <w:szCs w:val="21"/>
              </w:rPr>
              <w:t xml:space="preserve">The TMS machines are a major capital investment. Dr. Abrahams needs patient volume to justify the purchase. Unlike spine surgery, TMS patients CAN be acquired through direct marketing — people actively search for depression treatments, especially when medications haven't worked. This is where aggressive marketing makes sense.</w:t>
            </w:r>
          </w:p>
        </w:tc>
      </w:tr>
    </w:tbl>
    <w:p>
      <w:pPr>
        <w:spacing w:after="150"/>
      </w:pPr>
    </w:p>
    <w:p>
      <w:pPr>
        <w:spacing w:after="150"/>
      </w:pPr>
      <w:r>
        <w:rPr>
          <w:rFonts w:ascii="Arial" w:cs="Arial" w:eastAsia="Arial" w:hAnsi="Arial"/>
          <w:sz w:val="22"/>
          <w:szCs w:val="22"/>
        </w:rPr>
        <w:t xml:space="preserve">TMS marketing is fundamentally different from spine surgery:</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Patients self-refer (no physician gatekeeper required)</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67% of depression patients are unhappy with current treatment and actively searching</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Insurance coverage is strong (Medicare, Tricare, most commercial)</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Treatment is non-invasive, no surgery stigma</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Adolescent clearance (ages 15+) opens new market</w:t>
      </w:r>
    </w:p>
    <w:p>
      <w:pPr>
        <w:spacing w:before="200"/>
      </w:pPr>
    </w:p>
    <w:p>
      <w:pPr>
        <w:spacing w:before="250" w:after="120"/>
      </w:pPr>
      <w:r>
        <w:rPr>
          <w:rFonts w:ascii="Arial" w:cs="Arial" w:eastAsia="Arial" w:hAnsi="Arial"/>
          <w:b/>
          <w:bCs/>
          <w:color w:val="1E3A5F"/>
          <w:sz w:val="24"/>
          <w:szCs w:val="24"/>
        </w:rPr>
        <w:t xml:space="preserve">TMS Target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Primary: Adults with Treatment-Resistant Depression</w:t>
            </w:r>
          </w:p>
        </w:tc>
        <w:tc>
          <w:tcPr>
            <w:tcW w:type="dxa" w:w="3120"/>
            <w:tcBorders>
              <w:top w:val="single" w:color="CCCCCC" w:sz="1"/>
              <w:left w:val="single" w:color="CCCCCC" w:sz="1"/>
              <w:bottom w:val="single" w:color="CCCCCC" w:sz="1"/>
              <w:right w:val="single" w:color="CCCCCC" w:sz="1"/>
            </w:tcBorders>
            <w:shd w:fill="2E8B8B" w:val="clear"/>
            <w:tcMar>
              <w:top w:type="dxa" w:w="100"/>
              <w:left w:type="dxa" w:w="150"/>
              <w:bottom w:type="dxa" w:w="100"/>
              <w:right w:type="dxa" w:w="150"/>
            </w:tcMar>
          </w:tcPr>
          <w:p>
            <w:r>
              <w:rPr>
                <w:rFonts w:ascii="Arial" w:cs="Arial" w:eastAsia="Arial" w:hAnsi="Arial"/>
                <w:b/>
                <w:bCs/>
                <w:color w:val="FFFFFF"/>
                <w:sz w:val="18"/>
                <w:szCs w:val="18"/>
              </w:rPr>
              <w:t xml:space="preserve">Secondary: Parents of Depressed Teens</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18"/>
                <w:szCs w:val="18"/>
              </w:rPr>
              <w:t xml:space="preserve">Tertiary: Referring Psychiatrists/PCPs</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50"/>
            </w:pPr>
            <w:r>
              <w:rPr>
                <w:rFonts w:ascii="Arial" w:cs="Arial" w:eastAsia="Arial" w:hAnsi="Arial"/>
                <w:sz w:val="18"/>
                <w:szCs w:val="18"/>
              </w:rPr>
              <w:t xml:space="preserve">• Tried 2+ medications</w:t>
            </w:r>
          </w:p>
          <w:p>
            <w:pPr>
              <w:spacing w:after="50"/>
            </w:pPr>
            <w:r>
              <w:rPr>
                <w:rFonts w:ascii="Arial" w:cs="Arial" w:eastAsia="Arial" w:hAnsi="Arial"/>
                <w:sz w:val="18"/>
                <w:szCs w:val="18"/>
              </w:rPr>
              <w:t xml:space="preserve">• Side effects intolerable</w:t>
            </w:r>
          </w:p>
          <w:p>
            <w:pPr>
              <w:spacing w:after="50"/>
            </w:pPr>
            <w:r>
              <w:rPr>
                <w:rFonts w:ascii="Arial" w:cs="Arial" w:eastAsia="Arial" w:hAnsi="Arial"/>
                <w:sz w:val="18"/>
                <w:szCs w:val="18"/>
              </w:rPr>
              <w:t xml:space="preserve">• Seeking non-drug options</w:t>
            </w:r>
          </w:p>
          <w:p>
            <w:r>
              <w:rPr>
                <w:rFonts w:ascii="Arial" w:cs="Arial" w:eastAsia="Arial" w:hAnsi="Arial"/>
                <w:sz w:val="18"/>
                <w:szCs w:val="18"/>
              </w:rPr>
              <w:t xml:space="preserve">• Ages 25-65</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50"/>
            </w:pPr>
            <w:r>
              <w:rPr>
                <w:rFonts w:ascii="Arial" w:cs="Arial" w:eastAsia="Arial" w:hAnsi="Arial"/>
                <w:sz w:val="18"/>
                <w:szCs w:val="18"/>
              </w:rPr>
              <w:t xml:space="preserve">• Teen struggling despite therapy/meds</w:t>
            </w:r>
          </w:p>
          <w:p>
            <w:pPr>
              <w:spacing w:after="50"/>
            </w:pPr>
            <w:r>
              <w:rPr>
                <w:rFonts w:ascii="Arial" w:cs="Arial" w:eastAsia="Arial" w:hAnsi="Arial"/>
                <w:sz w:val="18"/>
                <w:szCs w:val="18"/>
              </w:rPr>
              <w:t xml:space="preserve">• Worried about medication side effects</w:t>
            </w:r>
          </w:p>
          <w:p>
            <w:pPr>
              <w:spacing w:after="50"/>
            </w:pPr>
            <w:r>
              <w:rPr>
                <w:rFonts w:ascii="Arial" w:cs="Arial" w:eastAsia="Arial" w:hAnsi="Arial"/>
                <w:sz w:val="18"/>
                <w:szCs w:val="18"/>
              </w:rPr>
              <w:t xml:space="preserve">• Searching for alternatives</w:t>
            </w:r>
          </w:p>
          <w:p>
            <w:r>
              <w:rPr>
                <w:rFonts w:ascii="Arial" w:cs="Arial" w:eastAsia="Arial" w:hAnsi="Arial"/>
                <w:sz w:val="18"/>
                <w:szCs w:val="18"/>
              </w:rPr>
              <w:t xml:space="preserve">• Ages 15-21 (FDA cleared)</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50"/>
            </w:pPr>
            <w:r>
              <w:rPr>
                <w:rFonts w:ascii="Arial" w:cs="Arial" w:eastAsia="Arial" w:hAnsi="Arial"/>
                <w:sz w:val="18"/>
                <w:szCs w:val="18"/>
              </w:rPr>
              <w:t xml:space="preserve">• Don't have TMS in-house</w:t>
            </w:r>
          </w:p>
          <w:p>
            <w:pPr>
              <w:spacing w:after="50"/>
            </w:pPr>
            <w:r>
              <w:rPr>
                <w:rFonts w:ascii="Arial" w:cs="Arial" w:eastAsia="Arial" w:hAnsi="Arial"/>
                <w:sz w:val="18"/>
                <w:szCs w:val="18"/>
              </w:rPr>
              <w:t xml:space="preserve">• Patients failing meds</w:t>
            </w:r>
          </w:p>
          <w:p>
            <w:pPr>
              <w:spacing w:after="50"/>
            </w:pPr>
            <w:r>
              <w:rPr>
                <w:rFonts w:ascii="Arial" w:cs="Arial" w:eastAsia="Arial" w:hAnsi="Arial"/>
                <w:sz w:val="18"/>
                <w:szCs w:val="18"/>
              </w:rPr>
              <w:t xml:space="preserve">• Need referral partner</w:t>
            </w:r>
          </w:p>
          <w:p>
            <w:r>
              <w:rPr>
                <w:rFonts w:ascii="Arial" w:cs="Arial" w:eastAsia="Arial" w:hAnsi="Arial"/>
                <w:sz w:val="18"/>
                <w:szCs w:val="18"/>
              </w:rPr>
              <w:t xml:space="preserve">• LinkedIn/email target</w:t>
            </w:r>
          </w:p>
        </w:tc>
      </w:tr>
    </w:tbl>
    <w:p>
      <w:pPr>
        <w:spacing w:before="250"/>
      </w:pPr>
    </w:p>
    <w:p>
      <w:pPr>
        <w:spacing w:before="250" w:after="120"/>
      </w:pPr>
      <w:r>
        <w:rPr>
          <w:rFonts w:ascii="Arial" w:cs="Arial" w:eastAsia="Arial" w:hAnsi="Arial"/>
          <w:b/>
          <w:bCs/>
          <w:color w:val="1E3A5F"/>
          <w:sz w:val="24"/>
          <w:szCs w:val="24"/>
        </w:rPr>
        <w:t xml:space="preserve">Sample TMS Social Posts (Facebook/Instagram)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Post 1: Awareness/Education</w:t>
            </w:r>
          </w:p>
          <w:p>
            <w:r>
              <w:rPr>
                <w:rFonts w:ascii="Arial" w:cs="Arial" w:eastAsia="Arial" w:hAnsi="Arial"/>
                <w:sz w:val="21"/>
                <w:szCs w:val="21"/>
              </w:rPr>
              <w:t xml:space="preserve">If antidepressants aren't working, you're not out of options. 💙 TMS (Transcranial Magnetic Stimulation) is an FDA-cleared treatment that uses magnetic pulses to stimulate areas of the brain involved in mood regulation. No medication. No surgery. No sedation. Just 19-minute sessions in our office. 83% of patients see improvement. 62% achieve complete remission. Now available at Cognifica Health in West Harrison. Insurance accepted including Medicare. Link in bio to learn if you're a candidate. #TMSTherapy #DepressionTreatment #MentalHealthMatters #WestchesterMentalHealth</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Post 2: Adolescent Focus (Target: Parents)</w:t>
            </w:r>
          </w:p>
          <w:p>
            <w:r>
              <w:rPr>
                <w:rFonts w:ascii="Arial" w:cs="Arial" w:eastAsia="Arial" w:hAnsi="Arial"/>
                <w:sz w:val="21"/>
                <w:szCs w:val="21"/>
              </w:rPr>
              <w:t xml:space="preserve">For parents watching their teen struggle with depression: There's a new option. NeuroStar TMS is now FDA-cleared for adolescents ages 15 and up — the first and only TMS treatment approved for this age group. When therapy and medication aren't enough, TMS offers a drug-free path forward. No systemic side effects. No impact on their developing brain chemistry from medications. Treatment happens after school. Most teens return to normal activities immediately. If your child has tried antidepressants without success, we should talk. #TeenMentalHealth #AdolescentDepression #TMSforTeens #ParentingTeens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Post 3: Stigma Reduction</w:t>
            </w:r>
          </w:p>
          <w:p>
            <w:r>
              <w:rPr>
                <w:rFonts w:ascii="Arial" w:cs="Arial" w:eastAsia="Arial" w:hAnsi="Arial"/>
                <w:sz w:val="21"/>
                <w:szCs w:val="21"/>
              </w:rPr>
              <w:t xml:space="preserve">"I thought I just needed to try harder." Depression isn't a character flaw. It's a medical condition with medical treatments. When the connections in your brain aren't firing properly, no amount of willpower changes that. TMS works by reactivating those dormant neural pathways — literally waking up the parts of your brain that regulate mood. It's not about trying harder. It's about getting the right treatment. Cognifica Health | West Harrison &amp; Aquebogue | 914-948-3008 #EndTheStigma #DepressionIsReal #MentalHealthAwareness</w:t>
            </w:r>
          </w:p>
        </w:tc>
      </w:tr>
    </w:tbl>
    <w:p>
      <w:pPr>
        <w:spacing w:after="150"/>
      </w:pPr>
    </w:p>
    <w:p>
      <w:pPr>
        <w:spacing w:before="200"/>
      </w:pPr>
    </w:p>
    <w:p>
      <w:pPr>
        <w:spacing w:before="250" w:after="120"/>
      </w:pPr>
      <w:r>
        <w:rPr>
          <w:rFonts w:ascii="Arial" w:cs="Arial" w:eastAsia="Arial" w:hAnsi="Arial"/>
          <w:b/>
          <w:bCs/>
          <w:color w:val="1E3A5F"/>
          <w:sz w:val="24"/>
          <w:szCs w:val="24"/>
        </w:rPr>
        <w:t xml:space="preserve">Concussion/Cognitive Services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Post 1: Concussion Recovery</w:t>
            </w:r>
          </w:p>
          <w:p>
            <w:r>
              <w:rPr>
                <w:rFonts w:ascii="Arial" w:cs="Arial" w:eastAsia="Arial" w:hAnsi="Arial"/>
                <w:sz w:val="21"/>
                <w:szCs w:val="21"/>
              </w:rPr>
              <w:t xml:space="preserve">"My tests came back normal, but I know something is wrong." If this sounds familiar, you're not alone. Standard MRIs and CT scans show brain structure — but concussion affects brain FUNCTION. At Cognifica, our comprehensive evaluation looks at how your brain actually performs during cognitive tasks. We see what other tests miss. Whether your injury happened last month or years ago, recovery is possible. Virtual evaluations available. #ConcussionRecovery #BrainHealth #PostConcussionSyndrome #TBI</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Post 2: Long COVID Cognitive Issues</w:t>
            </w:r>
          </w:p>
          <w:p>
            <w:r>
              <w:rPr>
                <w:rFonts w:ascii="Arial" w:cs="Arial" w:eastAsia="Arial" w:hAnsi="Arial"/>
                <w:sz w:val="21"/>
                <w:szCs w:val="21"/>
              </w:rPr>
              <w:t xml:space="preserve">Brain fog after COVID isn't in your head. (Well, technically it is — but you know what we mean.) Long COVID cognitive symptoms are real, measurable, and treatable. Memory issues. Concentration problems. Word-finding difficulties. These aren't signs of aging or stress. They're neurological symptoms that respond to targeted therapy. Our neuropsychological evaluations can identify exactly what's affected and create a personalized treatment plan. #LongCOVID #BrainFog #CognitiveHealth #COVIDRecovery</w:t>
            </w:r>
          </w:p>
        </w:tc>
      </w:tr>
    </w:tbl>
    <w:p>
      <w:pPr>
        <w:spacing w:after="150"/>
      </w:pPr>
    </w:p>
    <w:p>
      <w:pPr>
        <w:spacing w:before="200"/>
      </w:pPr>
    </w:p>
    <w:p>
      <w:pPr>
        <w:spacing w:before="250" w:after="120"/>
      </w:pPr>
      <w:r>
        <w:rPr>
          <w:rFonts w:ascii="Arial" w:cs="Arial" w:eastAsia="Arial" w:hAnsi="Arial"/>
          <w:b/>
          <w:bCs/>
          <w:color w:val="1E3A5F"/>
          <w:sz w:val="24"/>
          <w:szCs w:val="24"/>
        </w:rPr>
        <w:t xml:space="preserve">Newsletter Strategy</w:t>
      </w:r>
    </w:p>
    <w:p>
      <w:pPr>
        <w:spacing w:after="150"/>
      </w:pPr>
      <w:r>
        <w:rPr>
          <w:rFonts w:ascii="Arial" w:cs="Arial" w:eastAsia="Arial" w:hAnsi="Arial"/>
          <w:sz w:val="22"/>
          <w:szCs w:val="22"/>
        </w:rPr>
        <w:t xml:space="preserve">Single newsletter combining TMS awareness and cognitive health:</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Monthly frequency during TMS launch, can reduce to bi-monthly later</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Lead story rotates: TMS education, patient stories (with consent), brain health tips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Secondary content: concussion awareness, cognitive wellness, mental health resources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Segment list between: prospective patients, current/past patients, referring providers</w:t>
      </w:r>
    </w:p>
    <w:p>
      <w:pPr>
        <w:spacing w:before="200"/>
      </w:pPr>
    </w:p>
    <w:p>
      <w:pPr>
        <w:spacing w:before="250" w:after="120"/>
      </w:pPr>
      <w:r>
        <w:rPr>
          <w:rFonts w:ascii="Arial" w:cs="Arial" w:eastAsia="Arial" w:hAnsi="Arial"/>
          <w:b/>
          <w:bCs/>
          <w:color w:val="1E3A5F"/>
          <w:sz w:val="24"/>
          <w:szCs w:val="24"/>
        </w:rPr>
        <w:t xml:space="preserve">Google Ads - TMS Focus</w:t>
      </w:r>
    </w:p>
    <w:p>
      <w:pPr>
        <w:spacing w:after="150"/>
      </w:pPr>
      <w:r>
        <w:rPr>
          <w:rFonts w:ascii="Arial" w:cs="Arial" w:eastAsia="Arial" w:hAnsi="Arial"/>
          <w:sz w:val="22"/>
          <w:szCs w:val="22"/>
        </w:rPr>
        <w:t xml:space="preserve">This is where ad spend makes the most sense. TMS searchers have HIGH intent.</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Keywords: "TMS therapy near me," "depression treatment without medication," "TMS for depression [location]," "antidepressant alternatives"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Recommended spend: $2,000-3,000/month for TMS alone</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Expected results: TMS clicks run $15-40 each, but conversion rates are strong because searchers are motivated</w:t>
      </w:r>
    </w:p>
    <w:p>
      <w:r>
        <w:br w:type="page"/>
      </w:r>
    </w:p>
    <w:p>
      <w:pPr>
        <w:pBdr>
          <w:bottom w:val="single" w:color="2E8B8B" w:sz="8"/>
        </w:pBdr>
        <w:spacing w:before="400" w:after="200"/>
      </w:pPr>
      <w:r>
        <w:rPr>
          <w:rFonts w:ascii="Arial" w:cs="Arial" w:eastAsia="Arial" w:hAnsi="Arial"/>
          <w:b/>
          <w:bCs/>
          <w:color w:val="1E3A5F"/>
          <w:sz w:val="32"/>
          <w:szCs w:val="32"/>
        </w:rPr>
        <w:t xml:space="preserve">3. Kronos Health (kronoshealth.co)</w:t>
      </w:r>
    </w:p>
    <w:p>
      <w:pPr>
        <w:spacing w:before="300" w:after="150"/>
      </w:pPr>
      <w:r>
        <w:rPr>
          <w:rFonts w:ascii="Arial" w:cs="Arial" w:eastAsia="Arial" w:hAnsi="Arial"/>
          <w:b/>
          <w:bCs/>
          <w:color w:val="2E8B8B"/>
          <w:sz w:val="26"/>
          <w:szCs w:val="26"/>
        </w:rPr>
        <w:t xml:space="preserve">Completely Different Animal: B2B Healthcare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Key Insight:</w:t>
            </w:r>
          </w:p>
          <w:p>
            <w:r>
              <w:rPr>
                <w:rFonts w:ascii="Arial" w:cs="Arial" w:eastAsia="Arial" w:hAnsi="Arial"/>
                <w:sz w:val="21"/>
                <w:szCs w:val="21"/>
              </w:rPr>
              <w:t xml:space="preserve">Kronos sells to other healthcare providers, not patients. This is LinkedIn-dominant, thought leadership marketing. No Facebook/Instagram needed. The sales cycle is longer, the audience is smaller, and the content needs to be highly credible and specific.</w:t>
            </w:r>
          </w:p>
        </w:tc>
      </w:tr>
    </w:tbl>
    <w:p>
      <w:pPr>
        <w:spacing w:after="150"/>
      </w:pPr>
    </w:p>
    <w:p>
      <w:pPr>
        <w:spacing w:before="200"/>
      </w:pPr>
    </w:p>
    <w:p>
      <w:pPr>
        <w:spacing w:before="250" w:after="120"/>
      </w:pPr>
      <w:r>
        <w:rPr>
          <w:rFonts w:ascii="Arial" w:cs="Arial" w:eastAsia="Arial" w:hAnsi="Arial"/>
          <w:b/>
          <w:bCs/>
          <w:color w:val="1E3A5F"/>
          <w:sz w:val="24"/>
          <w:szCs w:val="24"/>
        </w:rPr>
        <w:t xml:space="preserve">Four Service Lines to Promote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16"/>
                <w:szCs w:val="16"/>
              </w:rPr>
              <w:t xml:space="preserve">Payment Dispute Resolution</w:t>
            </w:r>
          </w:p>
        </w:tc>
        <w:tc>
          <w:tcPr>
            <w:tcW w:type="dxa" w:w="2340"/>
            <w:tcBorders>
              <w:top w:val="single" w:color="CCCCCC" w:sz="1"/>
              <w:left w:val="single" w:color="CCCCCC" w:sz="1"/>
              <w:bottom w:val="single" w:color="CCCCCC" w:sz="1"/>
              <w:right w:val="single" w:color="CCCCCC" w:sz="1"/>
            </w:tcBorders>
            <w:shd w:fill="2E8B8B" w:val="clear"/>
            <w:tcMar>
              <w:top w:type="dxa" w:w="100"/>
              <w:left w:type="dxa" w:w="150"/>
              <w:bottom w:type="dxa" w:w="100"/>
              <w:right w:type="dxa" w:w="150"/>
            </w:tcMar>
          </w:tcPr>
          <w:p>
            <w:pPr>
              <w:jc w:val="center"/>
            </w:pPr>
            <w:r>
              <w:rPr>
                <w:rFonts w:ascii="Arial" w:cs="Arial" w:eastAsia="Arial" w:hAnsi="Arial"/>
                <w:b/>
                <w:bCs/>
                <w:color w:val="FFFFFF"/>
                <w:sz w:val="16"/>
                <w:szCs w:val="16"/>
              </w:rPr>
              <w:t xml:space="preserve">Digital Health Tools</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16"/>
                <w:szCs w:val="16"/>
              </w:rPr>
              <w:t xml:space="preserve">Cognitive Franchise</w:t>
            </w:r>
          </w:p>
        </w:tc>
        <w:tc>
          <w:tcPr>
            <w:tcW w:type="dxa" w:w="2340"/>
            <w:tcBorders>
              <w:top w:val="single" w:color="CCCCCC" w:sz="1"/>
              <w:left w:val="single" w:color="CCCCCC" w:sz="1"/>
              <w:bottom w:val="single" w:color="CCCCCC" w:sz="1"/>
              <w:right w:val="single" w:color="CCCCCC" w:sz="1"/>
            </w:tcBorders>
            <w:shd w:fill="2E8B8B" w:val="clear"/>
            <w:tcMar>
              <w:top w:type="dxa" w:w="100"/>
              <w:left w:type="dxa" w:w="150"/>
              <w:bottom w:type="dxa" w:w="100"/>
              <w:right w:type="dxa" w:w="150"/>
            </w:tcMar>
          </w:tcPr>
          <w:p>
            <w:pPr>
              <w:jc w:val="center"/>
            </w:pPr>
            <w:r>
              <w:rPr>
                <w:rFonts w:ascii="Arial" w:cs="Arial" w:eastAsia="Arial" w:hAnsi="Arial"/>
                <w:b/>
                <w:bCs/>
                <w:color w:val="FFFFFF"/>
                <w:sz w:val="16"/>
                <w:szCs w:val="16"/>
              </w:rPr>
              <w:t xml:space="preserve">Integrated Neuropsych Network</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6"/>
                <w:szCs w:val="16"/>
              </w:rPr>
              <w:t xml:space="preserve">No Surprises Act IDR arbitration. Help practices fight underpayment.</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6"/>
                <w:szCs w:val="16"/>
              </w:rPr>
              <w:t xml:space="preserve">Tappy (cognitive SMS tool), AISA (spine recovery), CPT-coded outcomes tracking.</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6"/>
                <w:szCs w:val="16"/>
              </w:rPr>
              <w:t xml:space="preserve">Turnkey cognitive health practice setup with protocols, tools, billing guidance.</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6"/>
                <w:szCs w:val="16"/>
              </w:rPr>
              <w:t xml:space="preserve">Referral network connecting physicians with mental health specialists.</w:t>
            </w:r>
          </w:p>
        </w:tc>
      </w:tr>
    </w:tbl>
    <w:p>
      <w:pPr>
        <w:spacing w:before="250"/>
      </w:pPr>
    </w:p>
    <w:p>
      <w:pPr>
        <w:spacing w:before="250" w:after="120"/>
      </w:pPr>
      <w:r>
        <w:rPr>
          <w:rFonts w:ascii="Arial" w:cs="Arial" w:eastAsia="Arial" w:hAnsi="Arial"/>
          <w:b/>
          <w:bCs/>
          <w:color w:val="1E3A5F"/>
          <w:sz w:val="24"/>
          <w:szCs w:val="24"/>
        </w:rPr>
        <w:t xml:space="preserve">Sample LinkedIn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Post 1: No Surprises Act / IDR</w:t>
            </w:r>
          </w:p>
          <w:p>
            <w:r>
              <w:rPr>
                <w:rFonts w:ascii="Arial" w:cs="Arial" w:eastAsia="Arial" w:hAnsi="Arial"/>
                <w:sz w:val="21"/>
                <w:szCs w:val="21"/>
              </w:rPr>
              <w:t xml:space="preserve">The No Surprises Act was supposed to protect patients. But for out-of-network providers, it's created a reimbursement nightmare. Here's what we're seeing in IDR arbitration: ❌ Insurers offering 40-60% of billed charges as "good faith" payment. ❌ Practices spending hours on paperwork instead of patient care. ❌ Many providers just accepting underpayment because fighting seems too hard. It doesn't have to be this way. At Kronos Health, we handle IDR from start to finish — negotiation, federal portal submission, case preparation, and follow-up. You focus on patients. We focus on getting you paid fairly. DM for a case review. #NoSurprisesAct #HealthcareReimbursement #MedicalBilling #IDR</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Post 2: Digital Health Tools</w:t>
            </w:r>
          </w:p>
          <w:p>
            <w:r>
              <w:rPr>
                <w:rFonts w:ascii="Arial" w:cs="Arial" w:eastAsia="Arial" w:hAnsi="Arial"/>
                <w:sz w:val="21"/>
                <w:szCs w:val="21"/>
              </w:rPr>
              <w:t xml:space="preserve">Your EMR tracks what happened. But are you tracking what matters? Post-operative outcomes. Patient-reported progress. Cognitive function changes over time. These metrics exist in CPT codes (96127, 96138, 99453-99458) — but most practices aren't capturing them because the manual process is too cumbersome. Kronos Health's digital tools automate the entire workflow: ✅ SMS-based patient engagement (no app download), ✅ Automated data collection and scoring, ✅ CPT-coded documentation ready for billing, ✅ Direct EMR integration. Better outcomes tracking. New revenue stream. No additional staff time. Let's talk. #DigitalHealth #HealthTech #PatientOutcomes #RevenueCycleManagement</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Post 3: Cognitive Franchise Program</w:t>
            </w:r>
          </w:p>
          <w:p>
            <w:r>
              <w:rPr>
                <w:rFonts w:ascii="Arial" w:cs="Arial" w:eastAsia="Arial" w:hAnsi="Arial"/>
                <w:sz w:val="21"/>
                <w:szCs w:val="21"/>
              </w:rPr>
              <w:t xml:space="preserve">Adding cognitive health services to your practice is easier than you think. Concussion care. Depression screening. Cognitive rehabilitation. These services are in demand, well-reimbursed, and clinically important — but most practices don't offer them because they don't know where to start. Our Cognitive Franchise Program provides: • Proven clinical protocols, • Non-drug treatment frameworks (including TMS referral pathways), • EEG and neuroimaging integration guidance, • Billing and coding support, • Marketing templates. Low startup cost. Scalable model. Growing market. Interested in adding a cognitive health line to your practice? Link in comments. #HealthcareBusiness #PracticeGrowth #CognitiveHealth #Franchise</w:t>
            </w:r>
          </w:p>
        </w:tc>
      </w:tr>
    </w:tbl>
    <w:p>
      <w:pPr>
        <w:spacing w:after="150"/>
      </w:pPr>
    </w:p>
    <w:p>
      <w:pPr>
        <w:spacing w:before="200"/>
      </w:pPr>
    </w:p>
    <w:p>
      <w:pPr>
        <w:spacing w:before="250" w:after="120"/>
      </w:pPr>
      <w:r>
        <w:rPr>
          <w:rFonts w:ascii="Arial" w:cs="Arial" w:eastAsia="Arial" w:hAnsi="Arial"/>
          <w:b/>
          <w:bCs/>
          <w:color w:val="1E3A5F"/>
          <w:sz w:val="24"/>
          <w:szCs w:val="24"/>
        </w:rPr>
        <w:t xml:space="preserve">Newsletter Strategy</w:t>
      </w:r>
    </w:p>
    <w:p>
      <w:pPr>
        <w:spacing w:after="150"/>
      </w:pPr>
      <w:r>
        <w:rPr>
          <w:rFonts w:ascii="Arial" w:cs="Arial" w:eastAsia="Arial" w:hAnsi="Arial"/>
          <w:sz w:val="22"/>
          <w:szCs w:val="22"/>
        </w:rPr>
        <w:t xml:space="preserve">Quarterly B2B newsletter targeting practice administrators and physicians: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Industry updates (No Surprises Act changes, CMS updates, coding changes)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Case studies showing ROI of Kronos services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Digital health trend analysis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Cognitive health market opportunity data</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Webinar/event announcements</w:t>
      </w:r>
    </w:p>
    <w:p>
      <w:pPr>
        <w:spacing w:after="150"/>
      </w:pPr>
      <w:r>
        <w:rPr>
          <w:rFonts w:ascii="Arial" w:cs="Arial" w:eastAsia="Arial" w:hAnsi="Arial"/>
          <w:sz w:val="22"/>
          <w:szCs w:val="22"/>
        </w:rPr>
        <w:t xml:space="preserve">Tone: Professional, data-driven, thought leadership positioning</w:t>
      </w:r>
    </w:p>
    <w:p>
      <w:pPr>
        <w:spacing w:before="200"/>
      </w:pPr>
    </w:p>
    <w:p>
      <w:pPr>
        <w:spacing w:before="250" w:after="120"/>
      </w:pPr>
      <w:r>
        <w:rPr>
          <w:rFonts w:ascii="Arial" w:cs="Arial" w:eastAsia="Arial" w:hAnsi="Arial"/>
          <w:b/>
          <w:bCs/>
          <w:color w:val="1E3A5F"/>
          <w:sz w:val="24"/>
          <w:szCs w:val="24"/>
        </w:rPr>
        <w:t xml:space="preserve">Google Ads</w:t>
      </w:r>
    </w:p>
    <w:p>
      <w:pPr>
        <w:spacing w:after="150"/>
      </w:pPr>
      <w:r>
        <w:rPr>
          <w:rFonts w:ascii="Arial" w:cs="Arial" w:eastAsia="Arial" w:hAnsi="Arial"/>
          <w:sz w:val="22"/>
          <w:szCs w:val="22"/>
        </w:rPr>
        <w:t xml:space="preserve">Limited utility for Kronos — B2B healthcare services aren't typically searched on Google. Better to allocate budget to:</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LinkedIn advertising (target by job title: practice administrator, medical director, etc.)</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Content syndication on healthcare publications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Conference/event presence</w:t>
      </w:r>
    </w:p>
    <w:p>
      <w:r>
        <w:br w:type="page"/>
      </w:r>
    </w:p>
    <w:p>
      <w:pPr>
        <w:pBdr>
          <w:bottom w:val="single" w:color="2E8B8B" w:sz="8"/>
        </w:pBdr>
        <w:spacing w:before="400" w:after="200"/>
      </w:pPr>
      <w:r>
        <w:rPr>
          <w:rFonts w:ascii="Arial" w:cs="Arial" w:eastAsia="Arial" w:hAnsi="Arial"/>
          <w:b/>
          <w:bCs/>
          <w:color w:val="1E3A5F"/>
          <w:sz w:val="32"/>
          <w:szCs w:val="32"/>
        </w:rPr>
        <w:t xml:space="preserve">Questions to Ask in the Meeting</w:t>
      </w:r>
    </w:p>
    <w:p>
      <w:pPr>
        <w:spacing w:before="300" w:after="150"/>
      </w:pPr>
      <w:r>
        <w:rPr>
          <w:rFonts w:ascii="Arial" w:cs="Arial" w:eastAsia="Arial" w:hAnsi="Arial"/>
          <w:b/>
          <w:bCs/>
          <w:color w:val="2E8B8B"/>
          <w:sz w:val="26"/>
          <w:szCs w:val="26"/>
        </w:rPr>
        <w:t xml:space="preserve">About Current State</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What marketing are you doing now? What's working?</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Do you have a referral coordinator or someone managing physician relationships?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How are the three companies structured? Same staff, separate operations?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What's your patient/lead tracking system? CRM? Just the EMR?</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Who handles content approvals currently? Compliance review process?</w:t>
      </w:r>
    </w:p>
    <w:p>
      <w:pPr>
        <w:spacing w:before="300" w:after="150"/>
      </w:pPr>
      <w:r>
        <w:rPr>
          <w:rFonts w:ascii="Arial" w:cs="Arial" w:eastAsia="Arial" w:hAnsi="Arial"/>
          <w:b/>
          <w:bCs/>
          <w:color w:val="2E8B8B"/>
          <w:sz w:val="26"/>
          <w:szCs w:val="26"/>
        </w:rPr>
        <w:t xml:space="preserve">About TMS Specifically</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When are the NeuroStar machines going live? (Affects launch timing)</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What's your target patient volume for TMS? Break-even number?</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Are you credentialed with major insurers for TMS already?</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Will you be marketing to adolescents, or adults only initially?</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Does NeuroStar provide co-op marketing funds or materials? (They do have a program)</w:t>
      </w:r>
    </w:p>
    <w:p>
      <w:pPr>
        <w:spacing w:before="300" w:after="150"/>
      </w:pPr>
      <w:r>
        <w:rPr>
          <w:rFonts w:ascii="Arial" w:cs="Arial" w:eastAsia="Arial" w:hAnsi="Arial"/>
          <w:b/>
          <w:bCs/>
          <w:color w:val="2E8B8B"/>
          <w:sz w:val="26"/>
          <w:szCs w:val="26"/>
        </w:rPr>
        <w:t xml:space="preserve">About Referrals (ISS)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Where do most spine surgery referrals come from currently?</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Do you have a physician liaison or is Dr. Abrahams doing relationship-building himself?</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Any pain management groups or PCPs you have strong relationships with?</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Interest in CME events or lunch-and-learns as referral building?</w:t>
      </w:r>
    </w:p>
    <w:p>
      <w:pPr>
        <w:spacing w:before="300" w:after="150"/>
      </w:pPr>
      <w:r>
        <w:rPr>
          <w:rFonts w:ascii="Arial" w:cs="Arial" w:eastAsia="Arial" w:hAnsi="Arial"/>
          <w:b/>
          <w:bCs/>
          <w:color w:val="2E8B8B"/>
          <w:sz w:val="26"/>
          <w:szCs w:val="26"/>
        </w:rPr>
        <w:t xml:space="preserve">About Kronos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Is Kronos generating revenue currently, or still in growth mode?</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Who's the primary buyer for Kronos services — practice owners or administrators?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Any case studies or success metrics we can use in marketing?</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How does the franchise program pricing work?</w:t>
      </w:r>
    </w:p>
    <w:p>
      <w:pPr>
        <w:spacing w:before="300" w:after="150"/>
      </w:pPr>
      <w:r>
        <w:rPr>
          <w:rFonts w:ascii="Arial" w:cs="Arial" w:eastAsia="Arial" w:hAnsi="Arial"/>
          <w:b/>
          <w:bCs/>
          <w:color w:val="2E8B8B"/>
          <w:sz w:val="26"/>
          <w:szCs w:val="26"/>
        </w:rPr>
        <w:t xml:space="preserve">Logistics</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Who's our day-to-day contact for approvals? (Juliet Mott for Cognifica?)</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Existing brand guidelines or assets we should work from?</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Access to patient testimonials already collected? HIPAA releases on file?</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Email platform preference? (Mailchimp, Constant Contact, etc.)</w:t>
      </w:r>
    </w:p>
    <w:p>
      <w:pPr>
        <w:spacing w:after="80"/>
        <w:ind w:left="360"/>
      </w:pPr>
      <w:r>
        <w:rPr>
          <w:rFonts w:ascii="Arial" w:cs="Arial" w:eastAsia="Arial" w:hAnsi="Arial"/>
          <w:sz w:val="22"/>
          <w:szCs w:val="22"/>
        </w:rPr>
        <w:t xml:space="preserve">•  </w:t>
      </w:r>
      <w:r>
        <w:rPr>
          <w:rFonts w:ascii="Arial" w:cs="Arial" w:eastAsia="Arial" w:hAnsi="Arial"/>
          <w:b w:val="false"/>
          <w:bCs w:val="false"/>
          <w:sz w:val="22"/>
          <w:szCs w:val="22"/>
        </w:rPr>
        <w:t xml:space="preserve">Timeline expectations — when do you want to be live?</w:t>
      </w:r>
    </w:p>
    <w:p>
      <w:r>
        <w:br w:type="page"/>
      </w:r>
    </w:p>
    <w:p>
      <w:pPr>
        <w:pBdr>
          <w:bottom w:val="single" w:color="2E8B8B" w:sz="8"/>
        </w:pBdr>
        <w:spacing w:before="400" w:after="200"/>
      </w:pPr>
      <w:r>
        <w:rPr>
          <w:rFonts w:ascii="Arial" w:cs="Arial" w:eastAsia="Arial" w:hAnsi="Arial"/>
          <w:b/>
          <w:bCs/>
          <w:color w:val="1E3A5F"/>
          <w:sz w:val="32"/>
          <w:szCs w:val="32"/>
        </w:rPr>
        <w:t xml:space="preserve">Revised Budget Recommendation</w:t>
      </w:r>
    </w:p>
    <w:p>
      <w:pPr>
        <w:spacing w:after="150"/>
      </w:pPr>
      <w:r>
        <w:rPr>
          <w:rFonts w:ascii="Arial" w:cs="Arial" w:eastAsia="Arial" w:hAnsi="Arial"/>
          <w:sz w:val="22"/>
          <w:szCs w:val="22"/>
        </w:rPr>
        <w:t xml:space="preserve">Based on the realistic marketing needs for each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Service</w:t>
            </w:r>
          </w:p>
        </w:tc>
        <w:tc>
          <w:tcPr>
            <w:tcW w:type="dxa" w:w="2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Monthly</w:t>
            </w:r>
          </w:p>
        </w:tc>
        <w:tc>
          <w:tcPr>
            <w:tcW w:type="dxa" w:w="26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ISS Social + Content (dual track)</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$1,500</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2 posts/wk, LI + FB/IG</w:t>
            </w:r>
          </w:p>
        </w:tc>
      </w:tr>
      <w:tr>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Cognifica Social + Content (TMS heavy)</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$2,000</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3 posts/wk, priority brand</w:t>
            </w:r>
          </w:p>
        </w:tc>
      </w:tr>
      <w:tr>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Kronos LinkedIn Only</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$800</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2 posts/wk, B2B focus</w:t>
            </w:r>
          </w:p>
        </w:tc>
      </w:tr>
      <w:tr>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Email Newsletters (3 brands)</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$1,200</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Monthly patient, quarterly MD</w:t>
            </w:r>
          </w:p>
        </w:tc>
      </w:tr>
      <w:tr>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Website Updates (quarterly)</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$750</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Content + light SEO</w:t>
            </w:r>
          </w:p>
        </w:tc>
      </w:tr>
      <w:tr>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Google Ads Management</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$1,000</w:t>
            </w:r>
          </w:p>
        </w:tc>
        <w:tc>
          <w:tcPr>
            <w:tcW w:type="dxa" w:w="2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ISS + Cognifica/TMS</w:t>
            </w:r>
          </w:p>
        </w:tc>
      </w:tr>
      <w:tr>
        <w:tc>
          <w:tcPr>
            <w:tcW w:type="dxa" w:w="400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MONTHLY RETAINER</w:t>
            </w:r>
          </w:p>
        </w:tc>
        <w:tc>
          <w:tcPr>
            <w:tcW w:type="dxa" w:w="268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$7,250</w:t>
            </w:r>
          </w:p>
        </w:tc>
        <w:tc>
          <w:tcPr>
            <w:tcW w:type="dxa" w:w="268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rFonts w:ascii="Arial" w:cs="Arial" w:eastAsia="Arial" w:hAnsi="Arial"/>
                <w:b/>
                <w:bCs/>
                <w:sz w:val="20"/>
                <w:szCs w:val="20"/>
              </w:rPr>
              <w:t xml:space="preserve">$87,000/year</w:t>
            </w:r>
          </w:p>
        </w:tc>
      </w:tr>
    </w:tbl>
    <w:p>
      <w:pPr>
        <w:spacing w:before="200"/>
      </w:pPr>
    </w:p>
    <w:p>
      <w:pPr>
        <w:spacing w:after="150"/>
      </w:pPr>
      <w:r>
        <w:rPr>
          <w:rFonts w:ascii="Arial" w:cs="Arial" w:eastAsia="Arial" w:hAnsi="Arial"/>
          <w:sz w:val="22"/>
          <w:szCs w:val="22"/>
        </w:rPr>
        <w:t xml:space="preserve">Plus one-time TMS launch campaign: $3,500-5,000</w:t>
      </w:r>
    </w:p>
    <w:p>
      <w:pPr>
        <w:spacing w:after="150"/>
      </w:pPr>
      <w:r>
        <w:rPr>
          <w:rFonts w:ascii="Arial" w:cs="Arial" w:eastAsia="Arial" w:hAnsi="Arial"/>
          <w:sz w:val="22"/>
          <w:szCs w:val="22"/>
        </w:rPr>
        <w:t xml:space="preserve">Plus recommended ad spend: $2,500-4,000/month (billed separately, pass-through)</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150"/>
              <w:left w:type="dxa" w:w="200"/>
              <w:bottom w:type="dxa" w:w="150"/>
              <w:right w:type="dxa" w:w="200"/>
            </w:tcMar>
          </w:tcPr>
          <w:p>
            <w:pPr>
              <w:spacing w:after="100"/>
            </w:pPr>
            <w:r>
              <w:rPr>
                <w:rFonts w:ascii="Arial" w:cs="Arial" w:eastAsia="Arial" w:hAnsi="Arial"/>
                <w:b/>
                <w:bCs/>
                <w:color w:val="1E3A5F"/>
                <w:sz w:val="22"/>
                <w:szCs w:val="22"/>
              </w:rPr>
              <w:t xml:space="preserve">Total Investment Range:</w:t>
            </w:r>
          </w:p>
          <w:p>
            <w:r>
              <w:rPr>
                <w:rFonts w:ascii="Arial" w:cs="Arial" w:eastAsia="Arial" w:hAnsi="Arial"/>
                <w:sz w:val="21"/>
                <w:szCs w:val="21"/>
              </w:rPr>
              <w:t xml:space="preserve">Monthly: $7,250 retainer + ~$3,000 ad spend = ~$10,250/month
Year 1: ~$127,000 all-in (including launch campaign and ad spend)
This is a significant but appropriate investment for a multi-brand healthcare marketing program. One TMS patient course (~$10-15K revenue) or one spine surgery easily justifies several months of marketing spend.</w:t>
            </w:r>
          </w:p>
        </w:tc>
      </w:tr>
    </w:tbl>
    <w:p>
      <w:pPr>
        <w:spacing w:after="15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2026-02-16T00:25:35.969Z</dcterms:created>
  <dcterms:modified xsi:type="dcterms:W3CDTF">2026-02-16T00:25:35.970Z</dcterms:modified>
</cp:coreProperties>
</file>

<file path=docProps/custom.xml><?xml version="1.0" encoding="utf-8"?>
<Properties xmlns="http://schemas.openxmlformats.org/officeDocument/2006/custom-properties" xmlns:vt="http://schemas.openxmlformats.org/officeDocument/2006/docPropsVTypes"/>
</file>