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Suppl. Table 1. Details of microvascular status in the 3 cohorts</w:t>
      </w:r>
    </w:p>
    <w:p w:rsidR="00000000" w:rsidDel="00000000" w:rsidP="00000000" w:rsidRDefault="00000000" w:rsidRPr="00000000" w14:paraId="00000002">
      <w:pPr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90.0" w:type="dxa"/>
        <w:jc w:val="center"/>
        <w:tblLayout w:type="fixed"/>
        <w:tblLook w:val="0400"/>
      </w:tblPr>
      <w:tblGrid>
        <w:gridCol w:w="2880"/>
        <w:gridCol w:w="1260"/>
        <w:gridCol w:w="1260"/>
        <w:gridCol w:w="1260"/>
        <w:gridCol w:w="1440"/>
        <w:gridCol w:w="1440"/>
        <w:gridCol w:w="1350"/>
        <w:gridCol w:w="1440"/>
        <w:gridCol w:w="1620"/>
        <w:gridCol w:w="1440"/>
        <w:tblGridChange w:id="0">
          <w:tblGrid>
            <w:gridCol w:w="2880"/>
            <w:gridCol w:w="1260"/>
            <w:gridCol w:w="1260"/>
            <w:gridCol w:w="1260"/>
            <w:gridCol w:w="1440"/>
            <w:gridCol w:w="1440"/>
            <w:gridCol w:w="1350"/>
            <w:gridCol w:w="1440"/>
            <w:gridCol w:w="1620"/>
            <w:gridCol w:w="1440"/>
          </w:tblGrid>
        </w:tblGridChange>
      </w:tblGrid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CORONADO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ABCD COVID-19 diabetes national audit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AMERICADO study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  <w:rtl w:val="0"/>
              </w:rPr>
              <w:t xml:space="preserve">All</w:t>
              <w:br w:type="textWrapping"/>
              <w:t xml:space="preserve">(n=2,713)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  <w:rtl w:val="0"/>
              </w:rPr>
              <w:t xml:space="preserve">no MICRO</w:t>
              <w:br w:type="textWrapping"/>
              <w:t xml:space="preserve">(n = 304)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  <w:rtl w:val="0"/>
              </w:rPr>
              <w:t xml:space="preserve"> any MICRO</w:t>
              <w:br w:type="textWrapping"/>
              <w:t xml:space="preserve">(n = 1,010)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  <w:rtl w:val="0"/>
              </w:rPr>
              <w:t xml:space="preserve">All</w:t>
              <w:br w:type="textWrapping"/>
              <w:t xml:space="preserve">(n=3,038)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  <w:rtl w:val="0"/>
              </w:rPr>
              <w:t xml:space="preserve">no MICRO</w:t>
              <w:br w:type="textWrapping"/>
              <w:t xml:space="preserve">(n = 750)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  <w:rtl w:val="0"/>
              </w:rPr>
              <w:t xml:space="preserve"> any MICRO</w:t>
              <w:br w:type="textWrapping"/>
              <w:t xml:space="preserve">(n = 1,059)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  <w:rtl w:val="0"/>
              </w:rPr>
              <w:t xml:space="preserve">All</w:t>
              <w:br w:type="textWrapping"/>
              <w:t xml:space="preserve">(n=7,3</w:t>
            </w:r>
            <w:r w:rsidDel="00000000" w:rsidR="00000000" w:rsidRPr="00000000">
              <w:rPr>
                <w:b w:val="1"/>
                <w:color w:val="111111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  <w:rtl w:val="0"/>
              </w:rPr>
              <w:t xml:space="preserve">7)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  <w:rtl w:val="0"/>
              </w:rPr>
              <w:t xml:space="preserve">no MICRO</w:t>
              <w:br w:type="textWrapping"/>
              <w:t xml:space="preserve">(n = 5,567)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2"/>
                <w:szCs w:val="22"/>
                <w:rtl w:val="0"/>
              </w:rPr>
              <w:t xml:space="preserve"> any MICRO</w:t>
              <w:br w:type="textWrapping"/>
              <w:t xml:space="preserve">(n = 1,800)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Diabetic retinopathy (DR)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           DR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312 (12%)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275 (27%)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547 (18%)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424 (40%)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903 (12%)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903 (50%)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ab/>
              <w:t xml:space="preserve">No 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1798 (66%)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304 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735 (73%)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1580 (52%)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750 (100%)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635 (60%)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40" w:before="40" w:lineRule="auto"/>
              <w:ind w:left="0" w:right="100" w:firstLine="0"/>
              <w:jc w:val="left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6464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 (88%)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55</w:t>
            </w:r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67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 (100%)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897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%)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ab/>
              <w:t xml:space="preserve">not ascertained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603 (22%)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911 (30%)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Diabetic kidney disease (DKD)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ab/>
              <w:t xml:space="preserve">DKD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1183 (44%)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931 (92%)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1367 (45%)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932 (88%)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1121 (15%)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1121 (62%)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ab/>
              <w:t xml:space="preserve">no DKD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451 (17%)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304 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79 (8%)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1124 (37%)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750 (100%)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127 (12%)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6246 (85%)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5567 (100%)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679 (38%)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ab/>
              <w:t xml:space="preserve">not ascertained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1079 (40%)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547 (18%)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Diabetic foot ulcer (DFU)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ab/>
              <w:t xml:space="preserve">DFU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185 (7%)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124 (13%)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182 (6%)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159 (15%)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336 (5%)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336 (19%)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ab/>
              <w:t xml:space="preserve">no DFU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2414 (89%)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346 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844 (87%)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1914 (63%)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750 (100%)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900 (85%)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7031 (95%)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5567 (100%)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1464 (81%)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ab/>
              <w:t xml:space="preserve">not ascertained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114 (4%)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972 (32%)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Albuminuria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ab/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484 (18%)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207 (68%)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190 (18%)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ab/>
              <w:t xml:space="preserve">Moderately increased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318 (12%)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97 (32%)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186 (18%)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C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ab/>
              <w:t xml:space="preserve">Severely increased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131 (5%)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123 (12%)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3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6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color w:val="11111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           not available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1780 (66%)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511 (52%)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D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Altered renal function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9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A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40" w:before="40" w:lineRule="auto"/>
              <w:ind w:left="72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1501 (55%)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304 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112 (11%)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F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0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40" w:before="40" w:lineRule="auto"/>
              <w:ind w:left="72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1148 (43%)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898 (89%)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B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D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E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40" w:before="40" w:lineRule="auto"/>
              <w:ind w:left="100" w:righ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            not available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64 (2%)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0 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3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4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5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6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7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8">
            <w:pPr>
              <w:spacing w:after="40" w:before="40" w:lineRule="auto"/>
              <w:ind w:left="100" w:right="100" w:firstLine="0"/>
              <w:jc w:val="center"/>
              <w:rPr>
                <w:rFonts w:ascii="Calibri" w:cs="Calibri" w:eastAsia="Calibri" w:hAnsi="Calibri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9">
      <w:pPr>
        <w:pStyle w:val="Heading2"/>
        <w:ind w:left="-990" w:right="-754" w:firstLine="2700"/>
        <w:rPr>
          <w:rFonts w:ascii="Calibri" w:cs="Calibri" w:eastAsia="Calibri" w:hAnsi="Calibri"/>
          <w:b w:val="0"/>
          <w:color w:val="11111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111111"/>
          <w:sz w:val="20"/>
          <w:szCs w:val="20"/>
          <w:rtl w:val="0"/>
        </w:rPr>
        <w:t xml:space="preserve">Data are n (%). DR (Diabetic retinopathy) active or past DR. DKD, diabetic kidney disease, defined as proteinuria (when available) and/or eGFR&lt;60 ml/min/1.73m</w:t>
      </w:r>
      <w:r w:rsidDel="00000000" w:rsidR="00000000" w:rsidRPr="00000000">
        <w:rPr>
          <w:rFonts w:ascii="Calibri" w:cs="Calibri" w:eastAsia="Calibri" w:hAnsi="Calibri"/>
          <w:b w:val="0"/>
          <w:color w:val="111111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color w:val="111111"/>
          <w:sz w:val="20"/>
          <w:szCs w:val="20"/>
          <w:rtl w:val="0"/>
        </w:rPr>
        <w:t xml:space="preserve">. DFU, active or past diabetic foot ulcer (see definitions in Methods). Altered renal function, defined as eGFR&lt;60 ml/min/1.73 m</w:t>
      </w:r>
      <w:r w:rsidDel="00000000" w:rsidR="00000000" w:rsidRPr="00000000">
        <w:rPr>
          <w:rFonts w:ascii="Calibri" w:cs="Calibri" w:eastAsia="Calibri" w:hAnsi="Calibri"/>
          <w:b w:val="0"/>
          <w:color w:val="111111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color w:val="111111"/>
          <w:sz w:val="20"/>
          <w:szCs w:val="20"/>
          <w:rtl w:val="0"/>
        </w:rPr>
        <w:t xml:space="preserve">. Of note, in the AMERICADO study, microvascular burden was defined using billing codes, so that patients with no microvascular billing codes were considered as not affected (no MICRO) leaving no patient with a “not ascertained” status.</w:t>
      </w:r>
    </w:p>
    <w:p w:rsidR="00000000" w:rsidDel="00000000" w:rsidP="00000000" w:rsidRDefault="00000000" w:rsidRPr="00000000" w14:paraId="000000E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376" w:top="60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1" w:sz="4" w:val="single"/>
      </w:pBdr>
      <w:spacing w:before="480" w:lineRule="auto"/>
      <w:ind w:left="360" w:hanging="36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3132" w:hanging="431.9999999999999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224" w:hanging="504.00000000000006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1B8E"/>
  </w:style>
  <w:style w:type="paragraph" w:styleId="Titre1">
    <w:name w:val="heading 1"/>
    <w:basedOn w:val="Normal"/>
    <w:next w:val="Normal"/>
    <w:link w:val="Titre1Car"/>
    <w:uiPriority w:val="9"/>
    <w:qFormat w:val="1"/>
    <w:rsid w:val="009C7453"/>
    <w:pPr>
      <w:keepNext w:val="1"/>
      <w:keepLines w:val="1"/>
      <w:numPr>
        <w:numId w:val="1"/>
      </w:numPr>
      <w:pBdr>
        <w:bottom w:color="auto" w:space="1" w:sz="4" w:val="single"/>
      </w:pBdr>
      <w:spacing w:before="480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9C7453"/>
    <w:pPr>
      <w:keepNext w:val="1"/>
      <w:keepLines w:val="1"/>
      <w:numPr>
        <w:ilvl w:val="1"/>
        <w:numId w:val="1"/>
      </w:numPr>
      <w:spacing w:before="200"/>
      <w:outlineLvl w:val="1"/>
    </w:pPr>
    <w:rPr>
      <w:rFonts w:asciiTheme="majorHAnsi" w:cstheme="majorBidi" w:eastAsiaTheme="majorEastAsia" w:hAnsiTheme="majorHAnsi"/>
      <w:b w:val="1"/>
      <w:bCs w:val="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 w:val="1"/>
    <w:unhideWhenUsed w:val="1"/>
    <w:qFormat w:val="1"/>
    <w:rsid w:val="009C7453"/>
    <w:pPr>
      <w:keepNext w:val="1"/>
      <w:keepLines w:val="1"/>
      <w:numPr>
        <w:ilvl w:val="2"/>
        <w:numId w:val="1"/>
      </w:numPr>
      <w:spacing w:before="200"/>
      <w:outlineLvl w:val="2"/>
    </w:pPr>
    <w:rPr>
      <w:rFonts w:asciiTheme="majorHAnsi" w:cstheme="majorBidi" w:eastAsiaTheme="majorEastAsia" w:hAnsiTheme="majorHAnsi"/>
      <w:b w:val="1"/>
      <w:bCs w:val="1"/>
      <w:lang w:val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9C7453"/>
    <w:rPr>
      <w:rFonts w:asciiTheme="majorHAnsi" w:cstheme="majorBidi" w:eastAsiaTheme="majorEastAsia" w:hAnsiTheme="majorHAnsi"/>
      <w:b w:val="1"/>
      <w:bCs w:val="1"/>
      <w:sz w:val="32"/>
      <w:szCs w:val="32"/>
      <w:lang w:val="en-US"/>
    </w:rPr>
  </w:style>
  <w:style w:type="character" w:styleId="Titre2Car" w:customStyle="1">
    <w:name w:val="Titre 2 Car"/>
    <w:basedOn w:val="Policepardfaut"/>
    <w:link w:val="Titre2"/>
    <w:uiPriority w:val="9"/>
    <w:rsid w:val="009C7453"/>
    <w:rPr>
      <w:rFonts w:asciiTheme="majorHAnsi" w:cstheme="majorBidi" w:eastAsiaTheme="majorEastAsia" w:hAnsiTheme="majorHAnsi"/>
      <w:b w:val="1"/>
      <w:bCs w:val="1"/>
      <w:sz w:val="26"/>
      <w:szCs w:val="26"/>
      <w:lang w:val="en-US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9C7453"/>
    <w:rPr>
      <w:rFonts w:asciiTheme="majorHAnsi" w:cstheme="majorBidi" w:eastAsiaTheme="majorEastAsia" w:hAnsiTheme="majorHAnsi"/>
      <w:b w:val="1"/>
      <w:bCs w:val="1"/>
      <w:lang w:val="en-US"/>
    </w:rPr>
  </w:style>
  <w:style w:type="character" w:styleId="apple-converted-space" w:customStyle="1">
    <w:name w:val="apple-converted-space"/>
    <w:basedOn w:val="Policepardfaut"/>
    <w:rsid w:val="009C7453"/>
  </w:style>
  <w:style w:type="paragraph" w:styleId="Default" w:customStyle="1">
    <w:name w:val="Default"/>
    <w:rsid w:val="009C7453"/>
    <w:pPr>
      <w:autoSpaceDE w:val="0"/>
      <w:autoSpaceDN w:val="0"/>
      <w:adjustRightInd w:val="0"/>
    </w:pPr>
    <w:rPr>
      <w:rFonts w:ascii="Shaker 2 Lancet" w:cs="Shaker 2 Lancet" w:hAnsi="Shaker 2 Lancet"/>
      <w:color w:val="000000"/>
    </w:rPr>
  </w:style>
  <w:style w:type="paragraph" w:styleId="EndNoteBibliography" w:customStyle="1">
    <w:name w:val="EndNote Bibliography"/>
    <w:basedOn w:val="Normal"/>
    <w:link w:val="EndNoteBibliographyChar"/>
    <w:rsid w:val="009C7453"/>
    <w:pPr>
      <w:spacing w:line="360" w:lineRule="auto"/>
      <w:jc w:val="both"/>
    </w:pPr>
    <w:rPr>
      <w:rFonts w:ascii="Times New Roman" w:cs="Times New Roman" w:hAnsi="Times New Roman"/>
      <w:noProof w:val="1"/>
      <w:lang w:val="en-US"/>
    </w:rPr>
  </w:style>
  <w:style w:type="character" w:styleId="EndNoteBibliographyChar" w:customStyle="1">
    <w:name w:val="EndNote Bibliography Char"/>
    <w:basedOn w:val="Policepardfaut"/>
    <w:link w:val="EndNoteBibliography"/>
    <w:rsid w:val="009C7453"/>
    <w:rPr>
      <w:rFonts w:ascii="Times New Roman" w:cs="Times New Roman" w:hAnsi="Times New Roman"/>
      <w:noProof w:val="1"/>
      <w:lang w:val="en-US"/>
    </w:rPr>
  </w:style>
  <w:style w:type="paragraph" w:styleId="PardfautA" w:customStyle="1">
    <w:name w:val="Par défaut A"/>
    <w:rsid w:val="009C7453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Helvetica Neue" w:cs="Arial Unicode MS" w:eastAsia="Arial Unicode MS" w:hAnsi="Helvetica Neue"/>
      <w:color w:val="000000"/>
      <w:sz w:val="22"/>
      <w:szCs w:val="22"/>
      <w:u w:color="000000"/>
      <w:bdr w:space="0" w:sz="0" w:val="nil"/>
      <w:lang w:eastAsia="fr-FR"/>
    </w:rPr>
  </w:style>
  <w:style w:type="paragraph" w:styleId="CorpsA" w:customStyle="1">
    <w:name w:val="Corps A"/>
    <w:rsid w:val="009C7453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</w:pPr>
    <w:rPr>
      <w:rFonts w:ascii="Times New Roman" w:cs="Times New Roman" w:eastAsia="Times New Roman" w:hAnsi="Times New Roman"/>
      <w:color w:val="000000"/>
      <w:kern w:val="1"/>
      <w:u w:color="000000"/>
      <w:bdr w:space="0" w:sz="0" w:val="nil"/>
      <w:lang w:eastAsia="fr-FR" w:val="en-US"/>
    </w:rPr>
  </w:style>
  <w:style w:type="paragraph" w:styleId="para" w:customStyle="1">
    <w:name w:val="para"/>
    <w:basedOn w:val="Normal"/>
    <w:rsid w:val="009C745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fr-FR"/>
    </w:rPr>
  </w:style>
  <w:style w:type="character" w:styleId="Aucun" w:customStyle="1">
    <w:name w:val="Aucun"/>
    <w:rsid w:val="009C7453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2874DF"/>
    <w:rPr>
      <w:rFonts w:ascii="Times New Roman" w:cs="Times New Roman" w:hAnsi="Times New Roman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2874DF"/>
    <w:rPr>
      <w:rFonts w:ascii="Times New Roman" w:cs="Times New Roman" w:hAnsi="Times New Roman"/>
      <w:sz w:val="18"/>
      <w:szCs w:val="18"/>
    </w:rPr>
  </w:style>
  <w:style w:type="paragraph" w:styleId="Rvision">
    <w:name w:val="Revision"/>
    <w:hidden w:val="1"/>
    <w:uiPriority w:val="99"/>
    <w:semiHidden w:val="1"/>
    <w:rsid w:val="002129C6"/>
  </w:style>
  <w:style w:type="character" w:styleId="Marquedecommentaire">
    <w:name w:val="annotation reference"/>
    <w:basedOn w:val="Policepardfaut"/>
    <w:uiPriority w:val="99"/>
    <w:semiHidden w:val="1"/>
    <w:unhideWhenUsed w:val="1"/>
    <w:rsid w:val="008E5A0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sid w:val="008E5A0F"/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sid w:val="008E5A0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 w:val="1"/>
    <w:unhideWhenUsed w:val="1"/>
    <w:rsid w:val="008E5A0F"/>
    <w:rPr>
      <w:b w:val="1"/>
      <w:bCs w:val="1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 w:val="1"/>
    <w:rsid w:val="008E5A0F"/>
    <w:rPr>
      <w:b w:val="1"/>
      <w:bCs w:val="1"/>
      <w:sz w:val="20"/>
      <w:szCs w:val="20"/>
    </w:rPr>
  </w:style>
  <w:style w:type="character" w:styleId="Lienhypertexte">
    <w:name w:val="Hyperlink"/>
    <w:basedOn w:val="Policepardfaut"/>
    <w:uiPriority w:val="99"/>
    <w:unhideWhenUsed w:val="1"/>
    <w:rsid w:val="001429DF"/>
    <w:rPr>
      <w:color w:val="0563c1" w:themeColor="hyperlink"/>
      <w:u w:val="single"/>
    </w:rPr>
  </w:style>
  <w:style w:type="character" w:styleId="UnresolvedMention1" w:customStyle="1">
    <w:name w:val="Unresolved Mention1"/>
    <w:basedOn w:val="Policepardfaut"/>
    <w:uiPriority w:val="99"/>
    <w:semiHidden w:val="1"/>
    <w:unhideWhenUsed w:val="1"/>
    <w:rsid w:val="001926B9"/>
    <w:rPr>
      <w:color w:val="605e5c"/>
      <w:shd w:color="auto" w:fill="e1dfdd" w:val="clear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B55DF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8511B9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fr-FR"/>
    </w:rPr>
  </w:style>
  <w:style w:type="character" w:styleId="Mentionnonrsolue1" w:customStyle="1">
    <w:name w:val="Mention non résolue1"/>
    <w:basedOn w:val="Policepardfaut"/>
    <w:uiPriority w:val="99"/>
    <w:semiHidden w:val="1"/>
    <w:unhideWhenUsed w:val="1"/>
    <w:rsid w:val="00706CB8"/>
    <w:rPr>
      <w:color w:val="605e5c"/>
      <w:shd w:color="auto" w:fill="e1dfdd" w:val="clear"/>
    </w:rPr>
  </w:style>
  <w:style w:type="character" w:styleId="lev">
    <w:name w:val="Strong"/>
    <w:basedOn w:val="Policepardfaut"/>
    <w:uiPriority w:val="22"/>
    <w:qFormat w:val="1"/>
    <w:rsid w:val="00D259D4"/>
    <w:rPr>
      <w:b w:val="1"/>
      <w:bCs w:val="1"/>
    </w:rPr>
  </w:style>
  <w:style w:type="paragraph" w:styleId="EndNoteBibliographyTitle" w:customStyle="1">
    <w:name w:val="EndNote Bibliography Title"/>
    <w:basedOn w:val="Normal"/>
    <w:link w:val="EndNoteBibliographyTitleChar"/>
    <w:rsid w:val="001C1101"/>
    <w:pPr>
      <w:jc w:val="center"/>
    </w:pPr>
    <w:rPr>
      <w:rFonts w:ascii="Times New Roman" w:cs="Times New Roman" w:hAnsi="Times New Roman"/>
      <w:lang w:val="en-US"/>
    </w:rPr>
  </w:style>
  <w:style w:type="character" w:styleId="EndNoteBibliographyTitleChar" w:customStyle="1">
    <w:name w:val="EndNote Bibliography Title Char"/>
    <w:basedOn w:val="Policepardfaut"/>
    <w:link w:val="EndNoteBibliographyTitle"/>
    <w:rsid w:val="001C1101"/>
    <w:rPr>
      <w:rFonts w:ascii="Times New Roman" w:cs="Times New Roman" w:hAnsi="Times New Roman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Na1qxobduGS9oylNzkMT92N5Q==">AMUW2mUfhEabHv99rZvjTpCpR4mp/6FflxSCVFwpquJRc0VaVEI46i8pLqIra6MaprhV4+Ek5dlnhrJkRThwJmoZvGW033O3uk2DQjX82qadAX39Syub0ItVnJp93HgbE9UTMUsLx8FY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2021-10-19T09:14:00Z</dcterms:created>
  <dc:creator>Utilisateur Microsoft Office</dc:creator>
</cp:coreProperties>
</file>