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4.png" ContentType="image/png"/>
  <Override PartName="/word/media/rId25.png" ContentType="image/png"/>
  <Override PartName="/word/media/rId26.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Safety</w:t>
      </w:r>
      <w:r>
        <w:t xml:space="preserve"> </w:t>
      </w:r>
      <w:r>
        <w:t xml:space="preserve">Alignment</w:t>
      </w:r>
      <w:r>
        <w:t xml:space="preserve"> </w:t>
      </w:r>
      <w:r>
        <w:t xml:space="preserve">Effectiveness</w:t>
      </w:r>
      <w:r>
        <w:t xml:space="preserve"> </w:t>
      </w:r>
      <w:r>
        <w:t xml:space="preserve">in</w:t>
      </w:r>
      <w:r>
        <w:t xml:space="preserve"> </w:t>
      </w:r>
      <w:r>
        <w:t xml:space="preserve">Large</w:t>
      </w:r>
      <w:r>
        <w:t xml:space="preserve"> </w:t>
      </w:r>
      <w:r>
        <w:t xml:space="preserve">Language</w:t>
      </w:r>
      <w:r>
        <w:t xml:space="preserve"> </w:t>
      </w:r>
      <w:r>
        <w:t xml:space="preserve">Models</w:t>
      </w:r>
    </w:p>
    <w:p>
      <w:pPr>
        <w:pStyle w:val="Author"/>
      </w:pPr>
      <w:r>
        <w:t xml:space="preserve">Rock</w:t>
      </w:r>
      <w:r>
        <w:t xml:space="preserve"> </w:t>
      </w:r>
      <w:r>
        <w:t xml:space="preserve">Lambros</w:t>
      </w:r>
    </w:p>
    <w:p>
      <w:pPr>
        <w:pStyle w:val="Date"/>
      </w:pPr>
      <w:r>
        <w:t xml:space="preserve">January</w:t>
      </w:r>
      <w:r>
        <w:t xml:space="preserve"> </w:t>
      </w:r>
      <w:r>
        <w:t xml:space="preserve">2026</w:t>
      </w:r>
    </w:p>
    <w:bookmarkStart w:id="20" w:name="introduction"/>
    <w:p>
      <w:pPr>
        <w:pStyle w:val="Heading1"/>
      </w:pPr>
      <w:r>
        <w:t xml:space="preserve">Introduction</w:t>
      </w:r>
    </w:p>
    <w:p>
      <w:pPr>
        <w:pStyle w:val="FirstParagraph"/>
      </w:pPr>
      <w:r>
        <w:t xml:space="preserve">Large language models (LLMs) risk producing harmful content including hate speech, threats, and misinformation. Safety alignment techniques—RLHF, DPO, and SFT—aim to reduce toxic outputs while preserving utility. Despite widespread adoption, empirical evidence quantifying alignment effectiveness across model families remains limited.</w:t>
      </w:r>
    </w:p>
    <w:p>
      <w:pPr>
        <w:pStyle w:val="BodyText"/>
      </w:pPr>
      <w:r>
        <w:t xml:space="preserve">This study asks:</w:t>
      </w:r>
      <w:r>
        <w:t xml:space="preserve"> </w:t>
      </w:r>
      <w:r>
        <w:rPr>
          <w:bCs/>
          <w:b/>
        </w:rPr>
        <w:t xml:space="preserve">Does safety alignment significantly reduce toxic outputs, and does effectiveness differ across model families?</w:t>
      </w:r>
      <w:r>
        <w:t xml:space="preserve"> </w:t>
      </w:r>
      <w:r>
        <w:t xml:space="preserve">We compare base versus aligned models from three families (Qwen 3, Llama 3.1, Mistral) using 25,000 prompts from toxicity benchmarks, quantifying absolute risk reduction via paired statistical tests.</w:t>
      </w:r>
    </w:p>
    <w:bookmarkEnd w:id="20"/>
    <w:bookmarkStart w:id="21" w:name="data-and-methods"/>
    <w:p>
      <w:pPr>
        <w:pStyle w:val="Heading1"/>
      </w:pPr>
      <w:r>
        <w:t xml:space="preserve">Data and Methods</w:t>
      </w:r>
    </w:p>
    <w:p>
      <w:pPr>
        <w:pStyle w:val="FirstParagraph"/>
      </w:pPr>
      <w:r>
        <w:t xml:space="preserve">We sampled 25,000 prompts: 12,500 from RealToxicityPrompts (Gehman et al., 2020) stratified by toxicity tertiles, and 12,500 from ToxiGen (Hartvigsen et al., 2022) adversarial examples targeting 13 demographic groups.</w:t>
      </w:r>
    </w:p>
    <w:tbl>
      <w:tblPr>
        <w:tblStyle w:val="Table"/>
        <w:tblW w:type="pct" w:w="0.0"/>
        <w:tblLook w:firstRow="1" w:lastRow="0" w:firstColumn="0" w:lastColumn="0" w:noHBand="0" w:noVBand="0" w:val="0020"/>
      </w:tblPr>
      <w:tblGrid/>
      <w:tr>
        <w:tc>
          <w:p>
            <w:pPr>
              <w:pStyle w:val="Compact"/>
              <w:jc w:val="left"/>
            </w:pPr>
            <w:r>
              <w:t xml:space="preserve">Family</w:t>
            </w:r>
          </w:p>
        </w:tc>
        <w:tc>
          <w:p>
            <w:pPr>
              <w:pStyle w:val="Compact"/>
              <w:jc w:val="left"/>
            </w:pPr>
            <w:r>
              <w:t xml:space="preserve">Base Model</w:t>
            </w:r>
          </w:p>
        </w:tc>
        <w:tc>
          <w:p>
            <w:pPr>
              <w:pStyle w:val="Compact"/>
              <w:jc w:val="left"/>
            </w:pPr>
            <w:r>
              <w:t xml:space="preserve">Aligned Model</w:t>
            </w:r>
          </w:p>
        </w:tc>
        <w:tc>
          <w:p>
            <w:pPr>
              <w:pStyle w:val="Compact"/>
              <w:jc w:val="left"/>
            </w:pPr>
            <w:r>
              <w:t xml:space="preserve">Parameters</w:t>
            </w:r>
          </w:p>
        </w:tc>
      </w:tr>
      <w:tr>
        <w:tc>
          <w:p>
            <w:pPr>
              <w:pStyle w:val="Compact"/>
              <w:jc w:val="left"/>
            </w:pPr>
            <w:r>
              <w:t xml:space="preserve">Qwen 3</w:t>
            </w:r>
          </w:p>
        </w:tc>
        <w:tc>
          <w:p>
            <w:pPr>
              <w:pStyle w:val="Compact"/>
              <w:jc w:val="left"/>
            </w:pPr>
            <w:r>
              <w:t xml:space="preserve">Qwen/Qwen3-8B-Base</w:t>
            </w:r>
          </w:p>
        </w:tc>
        <w:tc>
          <w:p>
            <w:pPr>
              <w:pStyle w:val="Compact"/>
              <w:jc w:val="left"/>
            </w:pPr>
            <w:r>
              <w:t xml:space="preserve">Qwen/Qwen3-8B</w:t>
            </w:r>
          </w:p>
        </w:tc>
        <w:tc>
          <w:p>
            <w:pPr>
              <w:pStyle w:val="Compact"/>
              <w:jc w:val="left"/>
            </w:pPr>
            <w:r>
              <w:t xml:space="preserve">8B</w:t>
            </w:r>
          </w:p>
        </w:tc>
      </w:tr>
      <w:tr>
        <w:tc>
          <w:p>
            <w:pPr>
              <w:pStyle w:val="Compact"/>
              <w:jc w:val="left"/>
            </w:pPr>
            <w:r>
              <w:t xml:space="preserve">Llama 3.1</w:t>
            </w:r>
          </w:p>
        </w:tc>
        <w:tc>
          <w:p>
            <w:pPr>
              <w:pStyle w:val="Compact"/>
              <w:jc w:val="left"/>
            </w:pPr>
            <w:r>
              <w:t xml:space="preserve">meta-llama/Llama-3.1-8B</w:t>
            </w:r>
          </w:p>
        </w:tc>
        <w:tc>
          <w:p>
            <w:pPr>
              <w:pStyle w:val="Compact"/>
              <w:jc w:val="left"/>
            </w:pPr>
            <w:r>
              <w:t xml:space="preserve">meta-llama/Llama-3.1-8B-Instruct</w:t>
            </w:r>
          </w:p>
        </w:tc>
        <w:tc>
          <w:p>
            <w:pPr>
              <w:pStyle w:val="Compact"/>
              <w:jc w:val="left"/>
            </w:pPr>
            <w:r>
              <w:t xml:space="preserve">8B</w:t>
            </w:r>
          </w:p>
        </w:tc>
      </w:tr>
      <w:tr>
        <w:tc>
          <w:p>
            <w:pPr>
              <w:pStyle w:val="Compact"/>
              <w:jc w:val="left"/>
            </w:pPr>
            <w:r>
              <w:t xml:space="preserve">Mistral</w:t>
            </w:r>
          </w:p>
        </w:tc>
        <w:tc>
          <w:p>
            <w:pPr>
              <w:pStyle w:val="Compact"/>
              <w:jc w:val="left"/>
            </w:pPr>
            <w:r>
              <w:t xml:space="preserve">mistralai/Mistral-7B-v0.3</w:t>
            </w:r>
          </w:p>
        </w:tc>
        <w:tc>
          <w:p>
            <w:pPr>
              <w:pStyle w:val="Compact"/>
              <w:jc w:val="left"/>
            </w:pPr>
            <w:r>
              <w:t xml:space="preserve">mistralai/Mistral-7B-Instruct-v0.3</w:t>
            </w:r>
          </w:p>
        </w:tc>
        <w:tc>
          <w:p>
            <w:pPr>
              <w:pStyle w:val="Compact"/>
              <w:jc w:val="left"/>
            </w:pPr>
            <w:r>
              <w:t xml:space="preserve">7B</w:t>
            </w:r>
          </w:p>
        </w:tc>
      </w:tr>
    </w:tbl>
    <w:p>
      <w:pPr>
        <w:pStyle w:val="BodyText"/>
      </w:pPr>
      <w:r>
        <w:t xml:space="preserve">Inference used deterministic decoding (temperature = 0.0, max 128 tokens). We scored 150,000 completions using Detoxify (Hanu &amp; Unitary, 2020) with binary threshold 0.5. For robustness, 5,000 pairs per family were validated with OpenAI Moderation API.</w:t>
      </w:r>
    </w:p>
    <w:bookmarkEnd w:id="21"/>
    <w:bookmarkStart w:id="22" w:name="statistical-methods"/>
    <w:p>
      <w:pPr>
        <w:pStyle w:val="Heading1"/>
      </w:pPr>
      <w:r>
        <w:t xml:space="preserve">Statistical Methods</w:t>
      </w:r>
    </w:p>
    <w:p>
      <w:pPr>
        <w:pStyle w:val="FirstParagraph"/>
      </w:pPr>
      <w:r>
        <w:rPr>
          <w:bCs/>
          <w:b/>
        </w:rPr>
        <w:t xml:space="preserve">McNemar’s Test (Primary):</w:t>
      </w:r>
      <w:r>
        <w:t xml:space="preserve"> </w:t>
      </w:r>
      <w:r>
        <w:t xml:space="preserve">For paired binary outcomes, we construct a</w:t>
      </w:r>
      <w:r>
        <w:t xml:space="preserve"> </w:t>
      </w:r>
      <m:oMath>
        <m:r>
          <m:t>2</m:t>
        </m:r>
        <m:r>
          <m:rPr>
            <m:sty m:val="p"/>
          </m:rPr>
          <m:t>×</m:t>
        </m:r>
        <m:r>
          <m:t>2</m:t>
        </m:r>
      </m:oMath>
      <w:r>
        <w:t xml:space="preserve"> </w:t>
      </w:r>
      <w:r>
        <w:t xml:space="preserve">contingency table where cells</w:t>
      </w:r>
      <w:r>
        <w:t xml:space="preserve"> </w:t>
      </w:r>
      <m:oMath>
        <m:r>
          <m:t>b</m:t>
        </m:r>
      </m:oMath>
      <w:r>
        <w:t xml:space="preserve"> </w:t>
      </w:r>
      <w:r>
        <w:t xml:space="preserve">(base toxic, aligned non-toxic) and</w:t>
      </w:r>
      <w:r>
        <w:t xml:space="preserve"> </w:t>
      </w:r>
      <m:oMath>
        <m:r>
          <m:t>c</m:t>
        </m:r>
      </m:oMath>
      <w:r>
        <w:t xml:space="preserve"> </w:t>
      </w:r>
      <w:r>
        <w:t xml:space="preserve">(opposite) represent discordant pairs. The test evaluates</w:t>
      </w:r>
      <w:r>
        <w:t xml:space="preserve"> </w:t>
      </w:r>
      <m:oMath>
        <m:r>
          <m:t>b</m:t>
        </m:r>
        <m:r>
          <m:rPr>
            <m:sty m:val="p"/>
          </m:rPr>
          <m:t>≠</m:t>
        </m:r>
        <m:r>
          <m:t>c</m:t>
        </m:r>
      </m:oMath>
      <w:r>
        <w:t xml:space="preserve">:</w:t>
      </w:r>
      <w:r>
        <w:t xml:space="preserve"> </w:t>
      </w:r>
      <m:oMath>
        <m:sSup>
          <m:e>
            <m:r>
              <m:t>χ</m:t>
            </m:r>
          </m:e>
          <m:sup>
            <m:r>
              <m:t>2</m:t>
            </m:r>
          </m:sup>
        </m:sSup>
        <m:r>
          <m:rPr>
            <m:sty m:val="p"/>
          </m:rPr>
          <m:t>=</m:t>
        </m:r>
        <m:r>
          <m:rPr>
            <m:sty m:val="p"/>
          </m:rPr>
          <m:t>(</m:t>
        </m:r>
        <m:r>
          <m:t>b</m:t>
        </m:r>
        <m:r>
          <m:rPr>
            <m:sty m:val="p"/>
          </m:rPr>
          <m:t>−</m:t>
        </m:r>
        <m:r>
          <m:t>c</m:t>
        </m:r>
        <m:sSup>
          <m:e>
            <m:r>
              <m:rPr>
                <m:sty m:val="p"/>
              </m:rPr>
              <m:t>)</m:t>
            </m:r>
          </m:e>
          <m:sup>
            <m:r>
              <m:t>2</m:t>
            </m:r>
          </m:sup>
        </m:sSup>
        <m:r>
          <m:rPr>
            <m:sty m:val="p"/>
          </m:rPr>
          <m:t>/</m:t>
        </m:r>
        <m:r>
          <m:rPr>
            <m:sty m:val="p"/>
          </m:rPr>
          <m:t>(</m:t>
        </m:r>
        <m:r>
          <m:t>b</m:t>
        </m:r>
        <m:r>
          <m:rPr>
            <m:sty m:val="p"/>
          </m:rPr>
          <m:t>+</m:t>
        </m:r>
        <m:r>
          <m:t>c</m:t>
        </m:r>
        <m:r>
          <m:rPr>
            <m:sty m:val="p"/>
          </m:rPr>
          <m:t>)</m:t>
        </m:r>
      </m:oMath>
      <w:r>
        <w:t xml:space="preserve">. Effect size is Absolute Risk Reduction: ARR</w:t>
      </w:r>
      <w:r>
        <w:t xml:space="preserve"> </w:t>
      </w:r>
      <m:oMath>
        <m:r>
          <m:rPr>
            <m:sty m:val="p"/>
          </m:rPr>
          <m:t>=</m:t>
        </m:r>
        <m:r>
          <m:rPr>
            <m:sty m:val="p"/>
          </m:rPr>
          <m:t>(</m:t>
        </m:r>
        <m:r>
          <m:t>b</m:t>
        </m:r>
        <m:r>
          <m:rPr>
            <m:sty m:val="p"/>
          </m:rPr>
          <m:t>−</m:t>
        </m:r>
        <m:r>
          <m:t>c</m:t>
        </m:r>
        <m:r>
          <m:rPr>
            <m:sty m:val="p"/>
          </m:rPr>
          <m:t>)</m:t>
        </m:r>
        <m:r>
          <m:rPr>
            <m:sty m:val="p"/>
          </m:rPr>
          <m:t>/</m:t>
        </m:r>
        <m:r>
          <m:t>n</m:t>
        </m:r>
      </m:oMath>
      <w:r>
        <w:t xml:space="preserve">, with 95% CIs via bootstrap.</w:t>
      </w:r>
    </w:p>
    <w:p>
      <w:pPr>
        <w:pStyle w:val="BodyText"/>
      </w:pPr>
      <w:r>
        <w:rPr>
          <w:bCs/>
          <w:b/>
        </w:rPr>
        <w:t xml:space="preserve">Wilcoxon Signed-Rank (Secondary):</w:t>
      </w:r>
      <w:r>
        <w:t xml:space="preserve"> </w:t>
      </w:r>
      <w:r>
        <w:t xml:space="preserve">Tests paired differences</w:t>
      </w:r>
      <w:r>
        <w:t xml:space="preserve"> </w:t>
      </w:r>
      <m:oMath>
        <m:sSub>
          <m:e>
            <m:r>
              <m:t>d</m:t>
            </m:r>
          </m:e>
          <m:sub>
            <m:r>
              <m:t>i</m:t>
            </m:r>
          </m:sub>
        </m:sSub>
        <m:r>
          <m:rPr>
            <m:sty m:val="p"/>
          </m:rPr>
          <m:t>=</m:t>
        </m:r>
        <m:sSub>
          <m:e>
            <m:r>
              <m:rPr>
                <m:nor/>
                <m:sty m:val="p"/>
              </m:rPr>
              <m:t>tox_base</m:t>
            </m:r>
          </m:e>
          <m:sub>
            <m:r>
              <m:t>i</m:t>
            </m:r>
          </m:sub>
        </m:sSub>
        <m:r>
          <m:rPr>
            <m:sty m:val="p"/>
          </m:rPr>
          <m:t>−</m:t>
        </m:r>
        <m:sSub>
          <m:e>
            <m:r>
              <m:rPr>
                <m:nor/>
                <m:sty m:val="p"/>
              </m:rPr>
              <m:t>tox_aligned</m:t>
            </m:r>
          </m:e>
          <m:sub>
            <m:r>
              <m:t>i</m:t>
            </m:r>
          </m:sub>
        </m:sSub>
      </m:oMath>
      <w:r>
        <w:t xml:space="preserve"> </w:t>
      </w:r>
      <w:r>
        <w:t xml:space="preserve">nonparametrically. Reports Z statistic, pseudomedian, and effect size</w:t>
      </w:r>
      <w:r>
        <w:t xml:space="preserve"> </w:t>
      </w:r>
      <m:oMath>
        <m:r>
          <m:t>r</m:t>
        </m:r>
        <m:r>
          <m:rPr>
            <m:sty m:val="p"/>
          </m:rPr>
          <m:t>=</m:t>
        </m:r>
        <m:r>
          <m:t>Z</m:t>
        </m:r>
        <m:r>
          <m:rPr>
            <m:sty m:val="p"/>
          </m:rPr>
          <m:t>/</m:t>
        </m:r>
        <m:rad>
          <m:radPr>
            <m:degHide m:val="1"/>
          </m:radPr>
          <m:deg/>
          <m:e>
            <m:r>
              <m:t>n</m:t>
            </m:r>
          </m:e>
        </m:rad>
      </m:oMath>
      <w:r>
        <w:t xml:space="preserve">.</w:t>
      </w:r>
    </w:p>
    <w:p>
      <w:pPr>
        <w:pStyle w:val="BodyText"/>
      </w:pPr>
      <w:r>
        <w:rPr>
          <w:bCs/>
          <w:b/>
        </w:rPr>
        <w:t xml:space="preserve">Cochran’s Q (Tertiary):</w:t>
      </w:r>
      <w:r>
        <w:t xml:space="preserve"> </w:t>
      </w:r>
      <w:r>
        <w:t xml:space="preserve">Tests heterogeneity of</w:t>
      </w:r>
      <w:r>
        <w:t xml:space="preserve"> </w:t>
      </w:r>
      <w:r>
        <w:t xml:space="preserve">“</w:t>
      </w:r>
      <w:r>
        <w:t xml:space="preserve">alignment success</w:t>
      </w:r>
      <w:r>
        <w:t xml:space="preserve">”</w:t>
      </w:r>
      <w:r>
        <w:t xml:space="preserve"> </w:t>
      </w:r>
      <w:r>
        <w:t xml:space="preserve">(base toxic</w:t>
      </w:r>
      <w:r>
        <w:t xml:space="preserve"> </w:t>
      </w:r>
      <m:oMath>
        <m:r>
          <m:rPr>
            <m:sty m:val="p"/>
          </m:rPr>
          <m:t>→</m:t>
        </m:r>
      </m:oMath>
      <w:r>
        <w:t xml:space="preserve"> </w:t>
      </w:r>
      <w:r>
        <w:t xml:space="preserve">aligned non-toxic) across</w:t>
      </w:r>
      <w:r>
        <w:t xml:space="preserve"> </w:t>
      </w:r>
      <m:oMath>
        <m:r>
          <m:t>k</m:t>
        </m:r>
        <m:r>
          <m:rPr>
            <m:sty m:val="p"/>
          </m:rPr>
          <m:t>=</m:t>
        </m:r>
        <m:r>
          <m:t>3</m:t>
        </m:r>
      </m:oMath>
      <w:r>
        <w:t xml:space="preserve"> </w:t>
      </w:r>
      <w:r>
        <w:t xml:space="preserve">families. Q follows</w:t>
      </w:r>
      <w:r>
        <w:t xml:space="preserve"> </w:t>
      </w:r>
      <m:oMath>
        <m:sSubSup>
          <m:e>
            <m:r>
              <m:t>χ</m:t>
            </m:r>
          </m:e>
          <m:sub>
            <m:r>
              <m:t>k</m:t>
            </m:r>
            <m:r>
              <m:rPr>
                <m:sty m:val="p"/>
              </m:rPr>
              <m:t>−</m:t>
            </m:r>
            <m:r>
              <m:t>1</m:t>
            </m:r>
          </m:sub>
          <m:sup>
            <m:r>
              <m:t>2</m:t>
            </m:r>
          </m:sup>
        </m:sSubSup>
      </m:oMath>
      <w:r>
        <w:t xml:space="preserve"> </w:t>
      </w:r>
      <w:r>
        <w:t xml:space="preserve">under</w:t>
      </w:r>
      <w:r>
        <w:t xml:space="preserve"> </w:t>
      </w:r>
      <m:oMath>
        <m:sSub>
          <m:e>
            <m:r>
              <m:t>H</m:t>
            </m:r>
          </m:e>
          <m:sub>
            <m:r>
              <m:t>0</m:t>
            </m:r>
          </m:sub>
        </m:sSub>
      </m:oMath>
      <w:r>
        <w:t xml:space="preserve">.</w:t>
      </w:r>
    </w:p>
    <w:bookmarkEnd w:id="22"/>
    <w:bookmarkStart w:id="28" w:name="results"/>
    <w:p>
      <w:pPr>
        <w:pStyle w:val="Heading1"/>
      </w:pPr>
      <w:r>
        <w:t xml:space="preserve">Results</w:t>
      </w:r>
    </w:p>
    <w:p>
      <w:pPr>
        <w:pStyle w:val="FirstParagraph"/>
      </w:pPr>
      <w:r>
        <w:t xml:space="preserve">Base models produced toxic outputs at 18.9% versus 17.1% for aligned. Effects varied by family: Qwen 3 (18.2%</w:t>
      </w:r>
      <w:r>
        <w:t xml:space="preserve"> </w:t>
      </w:r>
      <m:oMath>
        <m:r>
          <m:rPr>
            <m:sty m:val="p"/>
          </m:rPr>
          <m:t>→</m:t>
        </m:r>
      </m:oMath>
      <w:r>
        <w:t xml:space="preserve"> </w:t>
      </w:r>
      <w:r>
        <w:t xml:space="preserve">12.1%), Llama 3.1 (19.1%</w:t>
      </w:r>
      <w:r>
        <w:t xml:space="preserve"> </w:t>
      </w:r>
      <m:oMath>
        <m:r>
          <m:rPr>
            <m:sty m:val="p"/>
          </m:rPr>
          <m:t>→</m:t>
        </m:r>
      </m:oMath>
      <w:r>
        <w:t xml:space="preserve"> </w:t>
      </w:r>
      <w:r>
        <w:t xml:space="preserve">18.3%), Mistral (19.6%</w:t>
      </w:r>
      <w:r>
        <w:t xml:space="preserve"> </w:t>
      </w:r>
      <m:oMath>
        <m:r>
          <m:rPr>
            <m:sty m:val="p"/>
          </m:rPr>
          <m:t>→</m:t>
        </m:r>
      </m:oMath>
      <w:r>
        <w:t xml:space="preserve"> </w:t>
      </w:r>
      <w:r>
        <w:t xml:space="preserve">21.0%,</w:t>
      </w:r>
      <w:r>
        <w:t xml:space="preserve"> </w:t>
      </w:r>
      <w:r>
        <w:rPr>
          <w:iCs/>
          <w:i/>
        </w:rPr>
        <w:t xml:space="preserve">increase</w:t>
      </w:r>
      <w:r>
        <w:t xml:space="preserve">).</w:t>
      </w:r>
    </w:p>
    <w:p>
      <w:pPr>
        <w:pStyle w:val="CaptionedFigure"/>
      </w:pPr>
      <w:r>
        <w:drawing>
          <wp:inline>
            <wp:extent cx="5334000" cy="4445000"/>
            <wp:effectExtent b="0" l="0" r="0" t="0"/>
            <wp:docPr descr="Toxicity score distributions by model type." title="" id="1" name="Picture"/>
            <a:graphic>
              <a:graphicData uri="http://schemas.openxmlformats.org/drawingml/2006/picture">
                <pic:pic>
                  <pic:nvPicPr>
                    <pic:cNvPr descr="../output/figures/fig1_toxicity_distributions.png" id="0" name="Picture"/>
                    <pic:cNvPicPr>
                      <a:picLocks noChangeArrowheads="1" noChangeAspect="1"/>
                    </pic:cNvPicPr>
                  </pic:nvPicPr>
                  <pic:blipFill>
                    <a:blip r:embed="rId23"/>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Toxicity score distributions by model type.</w:t>
      </w:r>
    </w:p>
    <w:p>
      <w:pPr>
        <w:pStyle w:val="BodyText"/>
      </w:pPr>
      <w:r>
        <w:rPr>
          <w:bCs/>
          <w:b/>
        </w:rPr>
        <w:t xml:space="preserve">McNemar’s Test (Table 1):</w:t>
      </w:r>
      <w:r>
        <w:t xml:space="preserve"> </w:t>
      </w:r>
      <w:r>
        <w:t xml:space="preserve">All families showed significant effects (p &lt; 0.001). Qwen 3: ARR = 6.1% (95% CI: [5.6%, 6.5%],</w:t>
      </w:r>
      <w:r>
        <w:t xml:space="preserve"> </w:t>
      </w:r>
      <m:oMath>
        <m:sSup>
          <m:e>
            <m:r>
              <m:t>χ</m:t>
            </m:r>
          </m:e>
          <m:sup>
            <m:r>
              <m:t>2</m:t>
            </m:r>
          </m:sup>
        </m:sSup>
      </m:oMath>
      <w:r>
        <w:t xml:space="preserve"> </w:t>
      </w:r>
      <w:r>
        <w:t xml:space="preserve">= 653.59). Llama 3.1: ARR = 0.8% (</w:t>
      </w:r>
      <m:oMath>
        <m:sSup>
          <m:e>
            <m:r>
              <m:t>χ</m:t>
            </m:r>
          </m:e>
          <m:sup>
            <m:r>
              <m:t>2</m:t>
            </m:r>
          </m:sup>
        </m:sSup>
      </m:oMath>
      <w:r>
        <w:t xml:space="preserve"> </w:t>
      </w:r>
      <w:r>
        <w:t xml:space="preserve">= 11.87). Mistral: ARR = -1.4% (</w:t>
      </w:r>
      <m:oMath>
        <m:sSup>
          <m:e>
            <m:r>
              <m:t>χ</m:t>
            </m:r>
          </m:e>
          <m:sup>
            <m:r>
              <m:t>2</m:t>
            </m:r>
          </m:sup>
        </m:sSup>
      </m:oMath>
      <w:r>
        <w:t xml:space="preserve"> </w:t>
      </w:r>
      <w:r>
        <w:t xml:space="preserve">= 37.28)—alignment</w:t>
      </w:r>
      <w:r>
        <w:t xml:space="preserve"> </w:t>
      </w:r>
      <w:r>
        <w:rPr>
          <w:iCs/>
          <w:i/>
        </w:rPr>
        <w:t xml:space="preserve">increased</w:t>
      </w:r>
      <w:r>
        <w:t xml:space="preserve"> </w:t>
      </w:r>
      <w:r>
        <w:t xml:space="preserve">toxicity.</w:t>
      </w:r>
    </w:p>
    <w:p>
      <w:pPr>
        <w:pStyle w:val="TableCaption"/>
      </w:pPr>
      <w:r>
        <w:t xml:space="preserve">McNemar’s Test Results by Model Family</w:t>
      </w:r>
    </w:p>
    <w:tbl>
      <w:tblPr>
        <w:tblStyle w:val="Table"/>
        <w:tblW w:type="pct" w:w="0.0"/>
        <w:tblLook w:firstRow="1" w:lastRow="0" w:firstColumn="0" w:lastColumn="0" w:noHBand="0" w:noVBand="0" w:val="0020"/>
        <w:tblCaption w:val="McNemar’s Test Results by Model Family"/>
      </w:tblPr>
      <w:tblGrid/>
      <w:tr>
        <w:tc>
          <w:p>
            <w:pPr>
              <w:pStyle w:val="Compact"/>
              <w:jc w:val="left"/>
            </w:pPr>
            <w:r>
              <w:t xml:space="preserve">Family</w:t>
            </w:r>
          </w:p>
        </w:tc>
        <w:tc>
          <w:p>
            <w:pPr>
              <w:pStyle w:val="Compact"/>
              <w:jc w:val="right"/>
            </w:pPr>
            <w:r>
              <w:t xml:space="preserve">b</w:t>
            </w:r>
          </w:p>
        </w:tc>
        <w:tc>
          <w:p>
            <w:pPr>
              <w:pStyle w:val="Compact"/>
              <w:jc w:val="right"/>
            </w:pPr>
            <w:r>
              <w:t xml:space="preserve">c</w:t>
            </w:r>
          </w:p>
        </w:tc>
        <w:tc>
          <w:p>
            <w:pPr>
              <w:pStyle w:val="Compact"/>
              <w:jc w:val="right"/>
            </w:pPr>
            <w:r>
              <w:t xml:space="preserve">Chi-sq</w:t>
            </w:r>
          </w:p>
        </w:tc>
        <w:tc>
          <w:p>
            <w:pPr>
              <w:pStyle w:val="Compact"/>
              <w:jc w:val="left"/>
            </w:pPr>
            <w:r>
              <w:t xml:space="preserve">p-value</w:t>
            </w:r>
          </w:p>
        </w:tc>
        <w:tc>
          <w:p>
            <w:pPr>
              <w:pStyle w:val="Compact"/>
              <w:jc w:val="right"/>
            </w:pPr>
            <w:r>
              <w:t xml:space="preserve">ARR</w:t>
            </w:r>
          </w:p>
        </w:tc>
        <w:tc>
          <w:p>
            <w:pPr>
              <w:pStyle w:val="Compact"/>
              <w:jc w:val="left"/>
            </w:pPr>
            <w:r>
              <w:t xml:space="preserve">95% CI</w:t>
            </w:r>
          </w:p>
        </w:tc>
      </w:tr>
      <w:tr>
        <w:tc>
          <w:p>
            <w:pPr>
              <w:pStyle w:val="Compact"/>
              <w:jc w:val="left"/>
            </w:pPr>
            <w:r>
              <w:t xml:space="preserve">Qwen 3 (8B)</w:t>
            </w:r>
          </w:p>
        </w:tc>
        <w:tc>
          <w:p>
            <w:pPr>
              <w:pStyle w:val="Compact"/>
              <w:jc w:val="right"/>
            </w:pPr>
            <w:r>
              <w:t xml:space="preserve">2519</w:t>
            </w:r>
          </w:p>
        </w:tc>
        <w:tc>
          <w:p>
            <w:pPr>
              <w:pStyle w:val="Compact"/>
              <w:jc w:val="right"/>
            </w:pPr>
            <w:r>
              <w:t xml:space="preserve">1002</w:t>
            </w:r>
          </w:p>
        </w:tc>
        <w:tc>
          <w:p>
            <w:pPr>
              <w:pStyle w:val="Compact"/>
              <w:jc w:val="right"/>
            </w:pPr>
            <w:r>
              <w:t xml:space="preserve">653.59</w:t>
            </w:r>
          </w:p>
        </w:tc>
        <w:tc>
          <w:p>
            <w:pPr>
              <w:pStyle w:val="Compact"/>
              <w:jc w:val="left"/>
            </w:pPr>
            <w:r>
              <w:t xml:space="preserve">1.04e-148</w:t>
            </w:r>
          </w:p>
        </w:tc>
        <w:tc>
          <w:p>
            <w:pPr>
              <w:pStyle w:val="Compact"/>
              <w:jc w:val="right"/>
            </w:pPr>
            <w:r>
              <w:t xml:space="preserve">0.061</w:t>
            </w:r>
          </w:p>
        </w:tc>
        <w:tc>
          <w:p>
            <w:pPr>
              <w:pStyle w:val="Compact"/>
              <w:jc w:val="left"/>
            </w:pPr>
            <w:r>
              <w:t xml:space="preserve">[0.056, 0.065]</w:t>
            </w:r>
          </w:p>
        </w:tc>
      </w:tr>
      <w:tr>
        <w:tc>
          <w:p>
            <w:pPr>
              <w:pStyle w:val="Compact"/>
              <w:jc w:val="left"/>
            </w:pPr>
            <w:r>
              <w:t xml:space="preserve">Llama 3.1 (8B)</w:t>
            </w:r>
          </w:p>
        </w:tc>
        <w:tc>
          <w:p>
            <w:pPr>
              <w:pStyle w:val="Compact"/>
              <w:jc w:val="right"/>
            </w:pPr>
            <w:r>
              <w:t xml:space="preserve">1699</w:t>
            </w:r>
          </w:p>
        </w:tc>
        <w:tc>
          <w:p>
            <w:pPr>
              <w:pStyle w:val="Compact"/>
              <w:jc w:val="right"/>
            </w:pPr>
            <w:r>
              <w:t xml:space="preserve">1504</w:t>
            </w:r>
          </w:p>
        </w:tc>
        <w:tc>
          <w:p>
            <w:pPr>
              <w:pStyle w:val="Compact"/>
              <w:jc w:val="right"/>
            </w:pPr>
            <w:r>
              <w:t xml:space="preserve">11.87</w:t>
            </w:r>
          </w:p>
        </w:tc>
        <w:tc>
          <w:p>
            <w:pPr>
              <w:pStyle w:val="Compact"/>
              <w:jc w:val="left"/>
            </w:pPr>
            <w:r>
              <w:t xml:space="preserve">6.06e-04</w:t>
            </w:r>
          </w:p>
        </w:tc>
        <w:tc>
          <w:p>
            <w:pPr>
              <w:pStyle w:val="Compact"/>
              <w:jc w:val="right"/>
            </w:pPr>
            <w:r>
              <w:t xml:space="preserve">0.008</w:t>
            </w:r>
          </w:p>
        </w:tc>
        <w:tc>
          <w:p>
            <w:pPr>
              <w:pStyle w:val="Compact"/>
              <w:jc w:val="left"/>
            </w:pPr>
            <w:r>
              <w:t xml:space="preserve">[0.003, 0.012]</w:t>
            </w:r>
          </w:p>
        </w:tc>
      </w:tr>
      <w:tr>
        <w:tc>
          <w:p>
            <w:pPr>
              <w:pStyle w:val="Compact"/>
              <w:jc w:val="left"/>
            </w:pPr>
            <w:r>
              <w:t xml:space="preserve">Mistral (7B)</w:t>
            </w:r>
          </w:p>
        </w:tc>
        <w:tc>
          <w:p>
            <w:pPr>
              <w:pStyle w:val="Compact"/>
              <w:jc w:val="right"/>
            </w:pPr>
            <w:r>
              <w:t xml:space="preserve">1415</w:t>
            </w:r>
          </w:p>
        </w:tc>
        <w:tc>
          <w:p>
            <w:pPr>
              <w:pStyle w:val="Compact"/>
              <w:jc w:val="right"/>
            </w:pPr>
            <w:r>
              <w:t xml:space="preserve">1759</w:t>
            </w:r>
          </w:p>
        </w:tc>
        <w:tc>
          <w:p>
            <w:pPr>
              <w:pStyle w:val="Compact"/>
              <w:jc w:val="right"/>
            </w:pPr>
            <w:r>
              <w:t xml:space="preserve">37.28</w:t>
            </w:r>
          </w:p>
        </w:tc>
        <w:tc>
          <w:p>
            <w:pPr>
              <w:pStyle w:val="Compact"/>
              <w:jc w:val="left"/>
            </w:pPr>
            <w:r>
              <w:t xml:space="preserve">1.10e-09</w:t>
            </w:r>
          </w:p>
        </w:tc>
        <w:tc>
          <w:p>
            <w:pPr>
              <w:pStyle w:val="Compact"/>
              <w:jc w:val="right"/>
            </w:pPr>
            <w:r>
              <w:t xml:space="preserve">-0.014</w:t>
            </w:r>
          </w:p>
        </w:tc>
        <w:tc>
          <w:p>
            <w:pPr>
              <w:pStyle w:val="Compact"/>
              <w:jc w:val="left"/>
            </w:pPr>
            <w:r>
              <w:t xml:space="preserve">[-0.018, -0.009]</w:t>
            </w:r>
          </w:p>
        </w:tc>
      </w:tr>
    </w:tbl>
    <w:p>
      <w:pPr>
        <w:pStyle w:val="BodyText"/>
      </w:pPr>
      <w:r>
        <w:t xml:space="preserve">Figure 2 shows toxicity reduction; Figure 3 shows contingency tables highlighting discordant pair asymmetry.</w:t>
      </w:r>
    </w:p>
    <w:p>
      <w:pPr>
        <w:pStyle w:val="CaptionedFigure"/>
      </w:pPr>
      <w:r>
        <w:drawing>
          <wp:inline>
            <wp:extent cx="5334000" cy="4445000"/>
            <wp:effectExtent b="0" l="0" r="0" t="0"/>
            <wp:docPr descr="Toxicity reduction by model family." title="" id="1" name="Picture"/>
            <a:graphic>
              <a:graphicData uri="http://schemas.openxmlformats.org/drawingml/2006/picture">
                <pic:pic>
                  <pic:nvPicPr>
                    <pic:cNvPr descr="../output/figures/fig2_toxicity_reduction.png" id="0" name="Picture"/>
                    <pic:cNvPicPr>
                      <a:picLocks noChangeArrowheads="1" noChangeAspect="1"/>
                    </pic:cNvPicPr>
                  </pic:nvPicPr>
                  <pic:blipFill>
                    <a:blip r:embed="rId24"/>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Toxicity reduction by model family.</w:t>
      </w:r>
    </w:p>
    <w:p>
      <w:pPr>
        <w:pStyle w:val="CaptionedFigure"/>
      </w:pPr>
      <w:r>
        <w:drawing>
          <wp:inline>
            <wp:extent cx="5334000" cy="2286000"/>
            <wp:effectExtent b="0" l="0" r="0" t="0"/>
            <wp:docPr descr="Contingency tables showing discordant pairs." title="" id="1" name="Picture"/>
            <a:graphic>
              <a:graphicData uri="http://schemas.openxmlformats.org/drawingml/2006/picture">
                <pic:pic>
                  <pic:nvPicPr>
                    <pic:cNvPr descr="../output/figures/fig3_contingency_tables.png" id="0" name="Picture"/>
                    <pic:cNvPicPr>
                      <a:picLocks noChangeArrowheads="1" noChangeAspect="1"/>
                    </pic:cNvPicPr>
                  </pic:nvPicPr>
                  <pic:blipFill>
                    <a:blip r:embed="rId25"/>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Contingency tables showing discordant pairs.</w:t>
      </w:r>
    </w:p>
    <w:p>
      <w:pPr>
        <w:pStyle w:val="BodyText"/>
      </w:pPr>
      <w:r>
        <w:rPr>
          <w:bCs/>
          <w:b/>
        </w:rPr>
        <w:t xml:space="preserve">Wilcoxon Signed-Rank (Table 2):</w:t>
      </w:r>
      <w:r>
        <w:t xml:space="preserve"> </w:t>
      </w:r>
      <w:r>
        <w:t xml:space="preserve">Qwen 3 (Z = 42.87, r = 0.27, medium), Llama 3.1 (Z = 16.68, r = 0.11, small), Mistral (Z = 8.80, r = 0.06). Continuous scores show Mistral reduced average toxicity, but binary analysis reveals increased threshold-crossing.</w:t>
      </w:r>
    </w:p>
    <w:p>
      <w:pPr>
        <w:pStyle w:val="TableCaption"/>
      </w:pPr>
      <w:r>
        <w:t xml:space="preserve">Wilcoxon Signed-Rank Test Results</w:t>
      </w:r>
    </w:p>
    <w:tbl>
      <w:tblPr>
        <w:tblStyle w:val="Table"/>
        <w:tblW w:type="pct" w:w="0.0"/>
        <w:tblLook w:firstRow="1" w:lastRow="0" w:firstColumn="0" w:lastColumn="0" w:noHBand="0" w:noVBand="0" w:val="0020"/>
        <w:tblCaption w:val="Wilcoxon Signed-Rank Test Results"/>
      </w:tblPr>
      <w:tblGrid/>
      <w:tr>
        <w:tc>
          <w:p>
            <w:pPr>
              <w:pStyle w:val="Compact"/>
              <w:jc w:val="left"/>
            </w:pPr>
            <w:r>
              <w:t xml:space="preserve">Family</w:t>
            </w:r>
          </w:p>
        </w:tc>
        <w:tc>
          <w:p>
            <w:pPr>
              <w:pStyle w:val="Compact"/>
              <w:jc w:val="right"/>
            </w:pPr>
            <w:r>
              <w:t xml:space="preserve">Z</w:t>
            </w:r>
          </w:p>
        </w:tc>
        <w:tc>
          <w:p>
            <w:pPr>
              <w:pStyle w:val="Compact"/>
              <w:jc w:val="left"/>
            </w:pPr>
            <w:r>
              <w:t xml:space="preserve">p-value</w:t>
            </w:r>
          </w:p>
        </w:tc>
        <w:tc>
          <w:p>
            <w:pPr>
              <w:pStyle w:val="Compact"/>
              <w:jc w:val="right"/>
            </w:pPr>
            <w:r>
              <w:t xml:space="preserve">Pseudomedian</w:t>
            </w:r>
          </w:p>
        </w:tc>
        <w:tc>
          <w:p>
            <w:pPr>
              <w:pStyle w:val="Compact"/>
              <w:jc w:val="right"/>
            </w:pPr>
            <w:r>
              <w:t xml:space="preserve">r</w:t>
            </w:r>
          </w:p>
        </w:tc>
        <w:tc>
          <w:p>
            <w:pPr>
              <w:pStyle w:val="Compact"/>
              <w:jc w:val="right"/>
            </w:pPr>
            <w:r>
              <w:t xml:space="preserve">% Improved</w:t>
            </w:r>
          </w:p>
        </w:tc>
      </w:tr>
      <w:tr>
        <w:tc>
          <w:p>
            <w:pPr>
              <w:pStyle w:val="Compact"/>
              <w:jc w:val="left"/>
            </w:pPr>
            <w:r>
              <w:t xml:space="preserve">Qwen 3 (8B)</w:t>
            </w:r>
          </w:p>
        </w:tc>
        <w:tc>
          <w:p>
            <w:pPr>
              <w:pStyle w:val="Compact"/>
              <w:jc w:val="right"/>
            </w:pPr>
            <w:r>
              <w:t xml:space="preserve">42.87</w:t>
            </w:r>
          </w:p>
        </w:tc>
        <w:tc>
          <w:p>
            <w:pPr>
              <w:pStyle w:val="Compact"/>
              <w:jc w:val="left"/>
            </w:pPr>
            <w:r>
              <w:t xml:space="preserve">0.00e+00</w:t>
            </w:r>
          </w:p>
        </w:tc>
        <w:tc>
          <w:p>
            <w:pPr>
              <w:pStyle w:val="Compact"/>
              <w:jc w:val="right"/>
            </w:pPr>
            <w:r>
              <w:t xml:space="preserve">0.0068</w:t>
            </w:r>
          </w:p>
        </w:tc>
        <w:tc>
          <w:p>
            <w:pPr>
              <w:pStyle w:val="Compact"/>
              <w:jc w:val="right"/>
            </w:pPr>
            <w:r>
              <w:t xml:space="preserve">0.271</w:t>
            </w:r>
          </w:p>
        </w:tc>
        <w:tc>
          <w:p>
            <w:pPr>
              <w:pStyle w:val="Compact"/>
              <w:jc w:val="right"/>
            </w:pPr>
            <w:r>
              <w:t xml:space="preserve">61.2</w:t>
            </w:r>
          </w:p>
        </w:tc>
      </w:tr>
      <w:tr>
        <w:tc>
          <w:p>
            <w:pPr>
              <w:pStyle w:val="Compact"/>
              <w:jc w:val="left"/>
            </w:pPr>
            <w:r>
              <w:t xml:space="preserve">Llama 3.1 (8B)</w:t>
            </w:r>
          </w:p>
        </w:tc>
        <w:tc>
          <w:p>
            <w:pPr>
              <w:pStyle w:val="Compact"/>
              <w:jc w:val="right"/>
            </w:pPr>
            <w:r>
              <w:t xml:space="preserve">16.68</w:t>
            </w:r>
          </w:p>
        </w:tc>
        <w:tc>
          <w:p>
            <w:pPr>
              <w:pStyle w:val="Compact"/>
              <w:jc w:val="left"/>
            </w:pPr>
            <w:r>
              <w:t xml:space="preserve">8.72e-63</w:t>
            </w:r>
          </w:p>
        </w:tc>
        <w:tc>
          <w:p>
            <w:pPr>
              <w:pStyle w:val="Compact"/>
              <w:jc w:val="right"/>
            </w:pPr>
            <w:r>
              <w:t xml:space="preserve">0.0008</w:t>
            </w:r>
          </w:p>
        </w:tc>
        <w:tc>
          <w:p>
            <w:pPr>
              <w:pStyle w:val="Compact"/>
              <w:jc w:val="right"/>
            </w:pPr>
            <w:r>
              <w:t xml:space="preserve">0.106</w:t>
            </w:r>
          </w:p>
        </w:tc>
        <w:tc>
          <w:p>
            <w:pPr>
              <w:pStyle w:val="Compact"/>
              <w:jc w:val="right"/>
            </w:pPr>
            <w:r>
              <w:t xml:space="preserve">55.1</w:t>
            </w:r>
          </w:p>
        </w:tc>
      </w:tr>
      <w:tr>
        <w:tc>
          <w:p>
            <w:pPr>
              <w:pStyle w:val="Compact"/>
              <w:jc w:val="left"/>
            </w:pPr>
            <w:r>
              <w:t xml:space="preserve">Mistral (7B)</w:t>
            </w:r>
          </w:p>
        </w:tc>
        <w:tc>
          <w:p>
            <w:pPr>
              <w:pStyle w:val="Compact"/>
              <w:jc w:val="right"/>
            </w:pPr>
            <w:r>
              <w:t xml:space="preserve">8.80</w:t>
            </w:r>
          </w:p>
        </w:tc>
        <w:tc>
          <w:p>
            <w:pPr>
              <w:pStyle w:val="Compact"/>
              <w:jc w:val="left"/>
            </w:pPr>
            <w:r>
              <w:t xml:space="preserve">6.59e-19</w:t>
            </w:r>
          </w:p>
        </w:tc>
        <w:tc>
          <w:p>
            <w:pPr>
              <w:pStyle w:val="Compact"/>
              <w:jc w:val="right"/>
            </w:pPr>
            <w:r>
              <w:t xml:space="preserve">0.0003</w:t>
            </w:r>
          </w:p>
        </w:tc>
        <w:tc>
          <w:p>
            <w:pPr>
              <w:pStyle w:val="Compact"/>
              <w:jc w:val="right"/>
            </w:pPr>
            <w:r>
              <w:t xml:space="preserve">0.056</w:t>
            </w:r>
          </w:p>
        </w:tc>
        <w:tc>
          <w:p>
            <w:pPr>
              <w:pStyle w:val="Compact"/>
              <w:jc w:val="right"/>
            </w:pPr>
            <w:r>
              <w:t xml:space="preserve">53.3</w:t>
            </w:r>
          </w:p>
        </w:tc>
      </w:tr>
    </w:tbl>
    <w:p>
      <w:pPr>
        <w:pStyle w:val="BodyText"/>
      </w:pPr>
      <w:r>
        <w:rPr>
          <w:bCs/>
          <w:b/>
        </w:rPr>
        <w:t xml:space="preserve">Cochran’s Q:</w:t>
      </w:r>
      <w:r>
        <w:t xml:space="preserve"> </w:t>
      </w:r>
      <w:r>
        <w:t xml:space="preserve">Significant heterogeneity (</w:t>
      </w:r>
      <m:oMath>
        <m:r>
          <m:t>Q</m:t>
        </m:r>
      </m:oMath>
      <w:r>
        <w:t xml:space="preserve"> </w:t>
      </w:r>
      <w:r>
        <w:t xml:space="preserve">= 442.12,</w:t>
      </w:r>
      <w:r>
        <w:t xml:space="preserve"> </w:t>
      </w:r>
      <m:oMath>
        <m:r>
          <m:t>d</m:t>
        </m:r>
        <m:r>
          <m:t>f</m:t>
        </m:r>
      </m:oMath>
      <w:r>
        <w:t xml:space="preserve"> </w:t>
      </w:r>
      <w:r>
        <w:t xml:space="preserve">= 2,</w:t>
      </w:r>
      <w:r>
        <w:t xml:space="preserve"> </w:t>
      </w:r>
      <m:oMath>
        <m:r>
          <m:t>p</m:t>
        </m:r>
      </m:oMath>
      <w:r>
        <w:t xml:space="preserve"> </w:t>
      </w:r>
      <w:r>
        <w:t xml:space="preserve">= 9.9</w:t>
      </w:r>
      <w:r>
        <w:t xml:space="preserve"> </w:t>
      </w:r>
      <m:oMath>
        <m:r>
          <m:rPr>
            <m:sty m:val="p"/>
          </m:rPr>
          <m:t>×</m:t>
        </m:r>
      </m:oMath>
      <w:r>
        <w:t xml:space="preserve"> </w:t>
      </w:r>
      <w:r>
        <w:t xml:space="preserve">10</w:t>
      </w:r>
      <m:oMath>
        <m:sSup>
          <m:e>
            <m:r>
              <m:t>​</m:t>
            </m:r>
          </m:e>
          <m:sup>
            <m:r>
              <m:rPr>
                <m:sty m:val="p"/>
              </m:rPr>
              <m:t>−</m:t>
            </m:r>
            <m:r>
              <m:t>97</m:t>
            </m:r>
          </m:sup>
        </m:sSup>
      </m:oMath>
      <w:r>
        <w:t xml:space="preserve">). All families differ (p &lt; 10</w:t>
      </w:r>
      <m:oMath>
        <m:sSup>
          <m:e>
            <m:r>
              <m:t>​</m:t>
            </m:r>
          </m:e>
          <m:sup>
            <m:r>
              <m:rPr>
                <m:sty m:val="p"/>
              </m:rPr>
              <m:t>−</m:t>
            </m:r>
            <m:r>
              <m:t>7</m:t>
            </m:r>
          </m:sup>
        </m:sSup>
      </m:oMath>
      <w:r>
        <w:t xml:space="preserve">). Success rates: Qwen 3 (55.4%), Llama 3.1 (35.6%), Mistral (28.9%).</w:t>
      </w:r>
    </w:p>
    <w:p>
      <w:pPr>
        <w:pStyle w:val="BodyText"/>
      </w:pPr>
      <w:r>
        <w:rPr>
          <w:bCs/>
          <w:b/>
        </w:rPr>
        <w:t xml:space="preserve">Robustness (Figure 4):</w:t>
      </w:r>
      <w:r>
        <w:t xml:space="preserve"> </w:t>
      </w:r>
      <w:r>
        <w:t xml:space="preserve">Detoxify-OpenAI agreement: r = 0.98,</w:t>
      </w:r>
      <w:r>
        <w:t xml:space="preserve"> </w:t>
      </w:r>
      <m:oMath>
        <m:r>
          <m:t>κ</m:t>
        </m:r>
      </m:oMath>
      <w:r>
        <w:t xml:space="preserve"> </w:t>
      </w:r>
      <w:r>
        <w:t xml:space="preserve">&gt; 0.93. Both scorers agree on direction for all families.</w:t>
      </w:r>
    </w:p>
    <w:p>
      <w:pPr>
        <w:pStyle w:val="CaptionedFigure"/>
      </w:pPr>
      <w:r>
        <w:drawing>
          <wp:inline>
            <wp:extent cx="5334000" cy="4445000"/>
            <wp:effectExtent b="0" l="0" r="0" t="0"/>
            <wp:docPr descr="Scorer agreement between Detoxify and OpenAI Moderation." title="" id="1" name="Picture"/>
            <a:graphic>
              <a:graphicData uri="http://schemas.openxmlformats.org/drawingml/2006/picture">
                <pic:pic>
                  <pic:nvPicPr>
                    <pic:cNvPr descr="../output/figures/fig4_scorer_agreement.png" id="0" name="Picture"/>
                    <pic:cNvPicPr>
                      <a:picLocks noChangeArrowheads="1" noChangeAspect="1"/>
                    </pic:cNvPicPr>
                  </pic:nvPicPr>
                  <pic:blipFill>
                    <a:blip r:embed="rId26"/>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Scorer agreement between Detoxify and OpenAI Moderation.</w:t>
      </w:r>
    </w:p>
    <w:p>
      <w:pPr>
        <w:pStyle w:val="BodyText"/>
      </w:pPr>
      <w:r>
        <w:rPr>
          <w:bCs/>
          <w:b/>
        </w:rPr>
        <w:t xml:space="preserve">xFakeSci (Figure 5):</w:t>
      </w:r>
      <w:r>
        <w:t xml:space="preserve"> </w:t>
      </w:r>
      <w:r>
        <w:t xml:space="preserve">Exploratory linguistic pattern analysis using features from Hamed &amp; Wu (2023).</w:t>
      </w:r>
    </w:p>
    <w:p>
      <w:pPr>
        <w:pStyle w:val="CaptionedFigure"/>
      </w:pPr>
      <w:r>
        <w:drawing>
          <wp:inline>
            <wp:extent cx="5334000" cy="6223000"/>
            <wp:effectExtent b="0" l="0" r="0" t="0"/>
            <wp:docPr descr="xFakeSci ratio distributions." title="" id="1" name="Picture"/>
            <a:graphic>
              <a:graphicData uri="http://schemas.openxmlformats.org/drawingml/2006/picture">
                <pic:pic>
                  <pic:nvPicPr>
                    <pic:cNvPr descr="../output/figures/fig5_xfakesci_ratio.png" id="0" name="Picture"/>
                    <pic:cNvPicPr>
                      <a:picLocks noChangeArrowheads="1" noChangeAspect="1"/>
                    </pic:cNvPicPr>
                  </pic:nvPicPr>
                  <pic:blipFill>
                    <a:blip r:embed="rId27"/>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xFakeSci ratio distributions.</w:t>
      </w:r>
    </w:p>
    <w:bookmarkEnd w:id="28"/>
    <w:bookmarkStart w:id="29" w:name="discussion"/>
    <w:p>
      <w:pPr>
        <w:pStyle w:val="Heading1"/>
      </w:pPr>
      <w:r>
        <w:t xml:space="preserve">Discussion</w:t>
      </w:r>
    </w:p>
    <w:p>
      <w:pPr>
        <w:pStyle w:val="FirstParagraph"/>
      </w:pPr>
      <w:r>
        <w:t xml:space="preserve">Our findings challenge the assumption that alignment universally reduces toxicity. Results varied dramatically: Qwen 3 (ARR = 6.1%), Llama 3.1 (ARR = 0.8%), and surprisingly, Mistral (ARR = -1.4%,</w:t>
      </w:r>
      <w:r>
        <w:t xml:space="preserve"> </w:t>
      </w:r>
      <w:r>
        <w:rPr>
          <w:iCs/>
          <w:i/>
        </w:rPr>
        <w:t xml:space="preserve">increased</w:t>
      </w:r>
      <w:r>
        <w:t xml:space="preserve"> </w:t>
      </w:r>
      <w:r>
        <w:t xml:space="preserve">toxicity). The robustness analysis confirms these findings—Detoxify and OpenAI Moderation showed near-perfect agreement (r = 0.98,</w:t>
      </w:r>
      <w:r>
        <w:t xml:space="preserve"> </w:t>
      </w:r>
      <m:oMath>
        <m:r>
          <m:t>κ</m:t>
        </m:r>
      </m:oMath>
      <w:r>
        <w:t xml:space="preserve"> </w:t>
      </w:r>
      <w:r>
        <w:t xml:space="preserve">&gt; 0.93), with concordant conclusions for all families.</w:t>
      </w:r>
    </w:p>
    <w:p>
      <w:pPr>
        <w:pStyle w:val="BodyText"/>
      </w:pPr>
      <w:r>
        <w:t xml:space="preserve">Limitations include reliance on automated classifiers (though validated by inter-scorer agreement), deterministic decoding (temperature = 0) which may not generalize, and the conventional 0.5 toxicity threshold. The cross-family heterogeneity (</w:t>
      </w:r>
      <m:oMath>
        <m:r>
          <m:t>Q</m:t>
        </m:r>
      </m:oMath>
      <w:r>
        <w:t xml:space="preserve"> </w:t>
      </w:r>
      <w:r>
        <w:t xml:space="preserve">= 442.12, p &lt; 10</w:t>
      </w:r>
      <m:oMath>
        <m:sSup>
          <m:e>
            <m:r>
              <m:t>​</m:t>
            </m:r>
          </m:e>
          <m:sup>
            <m:r>
              <m:rPr>
                <m:sty m:val="p"/>
              </m:rPr>
              <m:t>−</m:t>
            </m:r>
            <m:r>
              <m:t>96</m:t>
            </m:r>
          </m:sup>
        </m:sSup>
      </m:oMath>
      <w:r>
        <w:t xml:space="preserve">) suggests alignment interacts with architecture in complex ways. The negative Mistral result is particularly concerning—some alignment procedures may inadvertently increase harmful outputs. Future work should investigate whether specific methods (RLHF, DPO, SFT) differentially affect toxicity.</w:t>
      </w:r>
    </w:p>
    <w:bookmarkEnd w:id="29"/>
    <w:bookmarkStart w:id="32" w:name="references"/>
    <w:p>
      <w:pPr>
        <w:pStyle w:val="Heading1"/>
      </w:pPr>
      <w:r>
        <w:t xml:space="preserve">References</w:t>
      </w:r>
    </w:p>
    <w:p>
      <w:pPr>
        <w:pStyle w:val="FirstParagraph"/>
      </w:pPr>
      <w:r>
        <w:t xml:space="preserve">Gehman, S., Gururangan, S., Sap, M., Choi, Y., &amp; Smith, N. A. (2020). RealToxicityPrompts: Evaluating neural toxic degeneration in language models.</w:t>
      </w:r>
      <w:r>
        <w:t xml:space="preserve"> </w:t>
      </w:r>
      <w:r>
        <w:rPr>
          <w:iCs/>
          <w:i/>
        </w:rPr>
        <w:t xml:space="preserve">Findings of EMNLP 2020</w:t>
      </w:r>
      <w:r>
        <w:t xml:space="preserve">.</w:t>
      </w:r>
    </w:p>
    <w:p>
      <w:pPr>
        <w:pStyle w:val="BodyText"/>
      </w:pPr>
      <w:r>
        <w:t xml:space="preserve">Hamed, A. A., &amp; Wu, X. (2023). Detection of ChatGPT fake science with the xFakeSci learning algorithm.</w:t>
      </w:r>
      <w:r>
        <w:t xml:space="preserve"> </w:t>
      </w:r>
      <w:hyperlink r:id="rId30">
        <w:r>
          <w:rPr>
            <w:rStyle w:val="Hyperlink"/>
          </w:rPr>
          <w:t xml:space="preserve">https://arxiv.org/pdf/2308.11767</w:t>
        </w:r>
      </w:hyperlink>
    </w:p>
    <w:p>
      <w:pPr>
        <w:pStyle w:val="BodyText"/>
      </w:pPr>
      <w:r>
        <w:t xml:space="preserve">Hanu, L., &amp; Unitary team. (2020). Detoxify. GitHub repository.</w:t>
      </w:r>
      <w:r>
        <w:t xml:space="preserve"> </w:t>
      </w:r>
      <w:hyperlink r:id="rId31">
        <w:r>
          <w:rPr>
            <w:rStyle w:val="Hyperlink"/>
          </w:rPr>
          <w:t xml:space="preserve">https://github.com/unitaryai/detoxify</w:t>
        </w:r>
      </w:hyperlink>
    </w:p>
    <w:p>
      <w:pPr>
        <w:pStyle w:val="BodyText"/>
      </w:pPr>
      <w:r>
        <w:t xml:space="preserve">Hartvigsen, T., Gabriel, S., Palangi, H., Sap, M., Ray, D., &amp; Kamar, E. (2022). ToxiGen: A large-scale machine-generated dataset for adversarial and implicit hate speech detection.</w:t>
      </w:r>
      <w:r>
        <w:t xml:space="preserve"> </w:t>
      </w:r>
      <w:r>
        <w:rPr>
          <w:iCs/>
          <w:i/>
        </w:rPr>
        <w:t xml:space="preserve">Proceedings of ACL 2022</w:t>
      </w:r>
      <w:r>
        <w:t xml:space="preserve">.</w:t>
      </w:r>
    </w:p>
    <w:p>
      <w:pPr>
        <w:pStyle w:val="BodyText"/>
      </w:pPr>
      <w:r>
        <w:t xml:space="preserve">Ouyang, L., Wu, J., Jiang, X., et al. (2022). Training language models to follow instructions with human feedback.</w:t>
      </w:r>
      <w:r>
        <w:t xml:space="preserve"> </w:t>
      </w:r>
      <w:r>
        <w:rPr>
          <w:iCs/>
          <w:i/>
        </w:rPr>
        <w:t xml:space="preserve">Advances in Neural Information Processing Systems, 35</w:t>
      </w:r>
      <w:r>
        <w:t xml:space="preserve">.</w:t>
      </w:r>
    </w:p>
    <w:p>
      <w:pPr>
        <w:pStyle w:val="BodyText"/>
      </w:pPr>
      <w:r>
        <w:t xml:space="preserve">Rafailov, R., Sharma, A., Mitchell, E., et al. (2023). Direct preference optimization: Your language model is secretly a reward model.</w:t>
      </w:r>
      <w:r>
        <w:t xml:space="preserve"> </w:t>
      </w:r>
      <w:r>
        <w:rPr>
          <w:iCs/>
          <w:i/>
        </w:rPr>
        <w:t xml:space="preserve">Advances in Neural Information Processing Systems, 36</w:t>
      </w:r>
      <w:r>
        <w:t xml:space="preserve">.</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26" Target="media/rId26.png" /><Relationship Type="http://schemas.openxmlformats.org/officeDocument/2006/relationships/image" Id="rId27" Target="media/rId27.png" /><Relationship Type="http://schemas.openxmlformats.org/officeDocument/2006/relationships/hyperlink" Id="rId30" Target="https://arxiv.org/pdf/2308.11767" TargetMode="External" /><Relationship Type="http://schemas.openxmlformats.org/officeDocument/2006/relationships/hyperlink" Id="rId31" Target="https://github.com/unitaryai/detoxify" TargetMode="External" /></Relationships>
</file>

<file path=word/_rels/footnotes.xml.rels><?xml version="1.0" encoding="UTF-8"?><Relationships xmlns="http://schemas.openxmlformats.org/package/2006/relationships"><Relationship Type="http://schemas.openxmlformats.org/officeDocument/2006/relationships/hyperlink" Id="rId30" Target="https://arxiv.org/pdf/2308.11767" TargetMode="External" /><Relationship Type="http://schemas.openxmlformats.org/officeDocument/2006/relationships/hyperlink" Id="rId31" Target="https://github.com/unitaryai/detoxif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Alignment Effectiveness in Large Language Models</dc:title>
  <dc:creator>Rock Lambros</dc:creator>
  <cp:keywords/>
  <dcterms:created xsi:type="dcterms:W3CDTF">2026-01-26T00:26:23Z</dcterms:created>
  <dcterms:modified xsi:type="dcterms:W3CDTF">2026-01-26T00:26:23Z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fontsize">
    <vt:lpwstr>12pt</vt:lpwstr>
  </property>
  <property fmtid="{D5CDD505-2E9C-101B-9397-08002B2CF9AE}" pid="4" name="geometry">
    <vt:lpwstr>margin=1in</vt:lpwstr>
  </property>
  <property fmtid="{D5CDD505-2E9C-101B-9397-08002B2CF9AE}" pid="5" name="header-includes">
    <vt:lpwstr/>
  </property>
  <property fmtid="{D5CDD505-2E9C-101B-9397-08002B2CF9AE}" pid="6" name="linestretch">
    <vt:lpwstr>2</vt:lpwstr>
  </property>
  <property fmtid="{D5CDD505-2E9C-101B-9397-08002B2CF9AE}" pid="7" name="output">
    <vt:lpwstr/>
  </property>
</Properties>
</file>