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44"/>
        </w:rPr>
        <w:t>Scoping Memorandum</w:t>
      </w:r>
    </w:p>
    <w:p>
      <w:pPr>
        <w:jc w:val="center"/>
      </w:pPr>
      <w:r>
        <w:rPr>
          <w:color w:val="595959"/>
          <w:sz w:val="24"/>
        </w:rPr>
        <w:t>ITGC &amp; ITAC Audit - Oracle Fusion Cloud ERP</w:t>
      </w:r>
    </w:p>
    <w:p>
      <w:pPr>
        <w:jc w:val="center"/>
      </w:pPr>
      <w:r>
        <w:rPr>
          <w:color w:val="595959"/>
          <w:sz w:val="20"/>
        </w:rPr>
        <w:t>Client: ABC Manufacturing Ltd.   |   Period: FY 2025-26   |   System: Oracle Fusion Cloud ERP (24C)</w:t>
      </w:r>
    </w:p>
    <w:p>
      <w:pPr>
        <w:jc w:val="center"/>
      </w:pPr>
      <w:r>
        <w:rPr>
          <w:i/>
          <w:color w:val="595959"/>
          <w:sz w:val="17"/>
        </w:rPr>
        <w:t>Template for educational use - replace sample data with actual engagement data.</w:t>
      </w:r>
    </w:p>
    <w:p/>
    <w:p>
      <w:r>
        <w:rPr>
          <w:b/>
          <w:color w:val="1F3864"/>
          <w:sz w:val="26"/>
        </w:rPr>
        <w:t>1. Engagement Details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ABC Manufacturing Ltd.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Period under review</w:t>
            </w:r>
          </w:p>
        </w:tc>
        <w:tc>
          <w:tcPr>
            <w:tcW w:type="dxa" w:w="4320"/>
          </w:tcPr>
          <w:p>
            <w:r>
              <w:t>01-Apr-2025 to 31-Mar-2026 (FY 2025-26)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4320"/>
          </w:tcPr>
          <w:p>
            <w:r>
              <w:t>Oracle Fusion Cloud ERP (Release 24C)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________________    Date: __/__/____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4320"/>
          </w:tcPr>
          <w:p>
            <w:r>
              <w:t>________________    Date: __/__/____</w:t>
            </w:r>
          </w:p>
        </w:tc>
      </w:tr>
    </w:tbl>
    <w:p>
      <w:r>
        <w:rPr>
          <w:b/>
          <w:color w:val="1F3864"/>
          <w:sz w:val="26"/>
        </w:rPr>
        <w:t>2. Objective</w:t>
      </w:r>
    </w:p>
    <w:p>
      <w:r>
        <w:t>To evaluate the design and operating effectiveness of IT General Controls (ITGC) and IT Application Controls (ITAC) over financially significant Oracle Fusion applications supporting Internal Control over Financial Reporting (ICFR) / SOX Section 404 compliance.</w:t>
      </w:r>
    </w:p>
    <w:p>
      <w:r>
        <w:rPr>
          <w:b/>
          <w:color w:val="1F3864"/>
          <w:sz w:val="26"/>
        </w:rPr>
        <w:t>3. Scoping Approach</w:t>
      </w:r>
    </w:p>
    <w:p>
      <w:r>
        <w:t>Applications and processes are scoped based on financial materiality, relevance to significant accounts and disclosures, and risk of material misstatement. A controls-reliance strategy is adopted, supplemented by limited substantive testing where required.</w:t>
      </w:r>
    </w:p>
    <w:p>
      <w:r>
        <w:rPr>
          <w:b/>
          <w:color w:val="1F3864"/>
          <w:sz w:val="26"/>
        </w:rPr>
        <w:t>4. In-scope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Application / Module</w:t>
            </w:r>
          </w:p>
        </w:tc>
        <w:tc>
          <w:tcPr>
            <w:tcW w:type="dxa" w:w="1728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Significant?</w:t>
            </w:r>
          </w:p>
        </w:tc>
        <w:tc>
          <w:tcPr>
            <w:tcW w:type="dxa" w:w="3600"/>
            <w:shd w:val="clear" w:color="auto" w:fill="2E5496"/>
          </w:tcPr>
          <w:p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Oracle General Ledger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Financial statement close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Oracle Payables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Expenses / Accounts Payable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Oracle Receivables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Revenue / Accounts Receivable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Oracle Fixed Assets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Depreciation / PP&amp;E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Oracle Inventory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Cost of Goods Sold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Oracle HCM Payroll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Payroll expense</w:t>
            </w:r>
          </w:p>
        </w:tc>
      </w:tr>
    </w:tbl>
    <w:p>
      <w:r>
        <w:rPr>
          <w:b/>
          <w:color w:val="1F3864"/>
          <w:sz w:val="26"/>
        </w:rPr>
        <w:t>5. In-scope Business Processes</w:t>
      </w:r>
    </w:p>
    <w:p>
      <w:pPr>
        <w:pStyle w:val="ListBullet"/>
      </w:pPr>
      <w:r>
        <w:t>Procure-to-Pay (P2P) - requisition to payment</w:t>
      </w:r>
    </w:p>
    <w:p>
      <w:pPr>
        <w:pStyle w:val="ListBullet"/>
      </w:pPr>
      <w:r>
        <w:t>Order-to-Cash (O2C) - order to collection</w:t>
      </w:r>
    </w:p>
    <w:p>
      <w:pPr>
        <w:pStyle w:val="ListBullet"/>
      </w:pPr>
      <w:r>
        <w:t>Record-to-Report (R2R) - journal to financial reporting</w:t>
      </w:r>
    </w:p>
    <w:p>
      <w:pPr>
        <w:pStyle w:val="ListBullet"/>
      </w:pPr>
      <w:r>
        <w:t>Inventory - receipt to valuation</w:t>
      </w:r>
    </w:p>
    <w:p>
      <w:pPr>
        <w:pStyle w:val="ListBullet"/>
      </w:pPr>
      <w:r>
        <w:t>Payroll (Hire-to-Retire) - onboarding to disbursement</w:t>
      </w:r>
    </w:p>
    <w:p>
      <w:r>
        <w:rPr>
          <w:b/>
          <w:color w:val="1F3864"/>
          <w:sz w:val="26"/>
        </w:rPr>
        <w:t>6. Control Domains Tested</w:t>
      </w:r>
    </w:p>
    <w:p>
      <w:r>
        <w:rPr>
          <w:b/>
          <w:color w:val="1F3864"/>
          <w:sz w:val="22"/>
        </w:rPr>
        <w:t>6.1 ITGC</w:t>
      </w:r>
    </w:p>
    <w:p>
      <w:pPr>
        <w:pStyle w:val="ListBullet"/>
      </w:pPr>
      <w:r>
        <w:t>Access to Programs &amp; Data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IT Operations (batch/interfaces)</w:t>
      </w:r>
    </w:p>
    <w:p>
      <w:pPr>
        <w:pStyle w:val="ListBullet"/>
      </w:pPr>
      <w:r>
        <w:t>Backup &amp; Recovery</w:t>
      </w:r>
    </w:p>
    <w:p>
      <w:r>
        <w:rPr>
          <w:b/>
          <w:color w:val="1F3864"/>
          <w:sz w:val="22"/>
        </w:rPr>
        <w:t>6.2 ITAC</w:t>
      </w:r>
    </w:p>
    <w:p>
      <w:pPr>
        <w:pStyle w:val="ListBullet"/>
      </w:pPr>
      <w:r>
        <w:t>Automated matching (e.g., 3-way match)</w:t>
      </w:r>
    </w:p>
    <w:p>
      <w:pPr>
        <w:pStyle w:val="ListBullet"/>
      </w:pPr>
      <w:r>
        <w:t>Automated calculations</w:t>
      </w:r>
    </w:p>
    <w:p>
      <w:pPr>
        <w:pStyle w:val="ListBullet"/>
      </w:pPr>
      <w:r>
        <w:t>System validations &amp; edit checks</w:t>
      </w:r>
    </w:p>
    <w:p>
      <w:pPr>
        <w:pStyle w:val="ListBullet"/>
      </w:pPr>
      <w:r>
        <w:t>Automated approval workflows</w:t>
      </w:r>
    </w:p>
    <w:p>
      <w:r>
        <w:rPr>
          <w:b/>
          <w:color w:val="1F3864"/>
          <w:sz w:val="26"/>
        </w:rPr>
        <w:t>7. Materiality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Overall materiality</w:t>
            </w:r>
          </w:p>
        </w:tc>
        <w:tc>
          <w:tcPr>
            <w:tcW w:type="dxa" w:w="4320"/>
          </w:tcPr>
          <w:p>
            <w:r>
              <w:t>INR 12.5 Cr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Performance materiality</w:t>
            </w:r>
          </w:p>
        </w:tc>
        <w:tc>
          <w:tcPr>
            <w:tcW w:type="dxa" w:w="4320"/>
          </w:tcPr>
          <w:p>
            <w:r>
              <w:t>INR 8.0 Cr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Clearly trivial threshold</w:t>
            </w:r>
          </w:p>
        </w:tc>
        <w:tc>
          <w:tcPr>
            <w:tcW w:type="dxa" w:w="4320"/>
          </w:tcPr>
          <w:p>
            <w:r>
              <w:t>INR 0.6 Cr</w:t>
            </w:r>
          </w:p>
        </w:tc>
      </w:tr>
    </w:tbl>
    <w:p>
      <w:r>
        <w:rPr>
          <w:b/>
          <w:color w:val="1F3864"/>
          <w:sz w:val="26"/>
        </w:rPr>
        <w:t>8. Testing Approach &amp; Timeline</w:t>
      </w:r>
    </w:p>
    <w:p>
      <w:r>
        <w:t>Design effectiveness will be assessed via walkthroughs and configuration review. Operating effectiveness will be assessed through attribute-based sampling for manual/IT-dependent controls and test-of-one plus ITGC reliance for automated controls. Interim testing followed by roll-forward to period end.</w:t>
      </w:r>
    </w:p>
    <w:p>
      <w:r>
        <w:rPr>
          <w:b/>
          <w:color w:val="1F3864"/>
          <w:sz w:val="26"/>
        </w:rPr>
        <w:t>9. Reliance &amp; Dependencies</w:t>
      </w:r>
    </w:p>
    <w:p>
      <w:r>
        <w:t>Reliance on automated (ITAC) controls is dependent on effective Change Management ITGC. Any report used in testing (IPE) will have its completeness and accuracy validated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