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AAC Access Model Configuration Guide</w:t>
      </w:r>
    </w:p>
    <w:p>
      <w:pPr>
        <w:jc w:val="center"/>
      </w:pPr>
      <w:r>
        <w:rPr>
          <w:color w:val="595959"/>
          <w:sz w:val="24"/>
        </w:rPr>
        <w:t>Step-by-Step: Build, Deploy &amp; Monitor SoD Access Controls</w:t>
      </w:r>
    </w:p>
    <w:p>
      <w:pPr>
        <w:jc w:val="center"/>
      </w:pPr>
      <w:r>
        <w:rPr>
          <w:color w:val="595959"/>
          <w:sz w:val="20"/>
        </w:rPr>
        <w:t>Oracle Risk Management Cloud - Advanced Access Controls (AAC)</w:t>
      </w:r>
    </w:p>
    <w:p>
      <w:pPr>
        <w:jc w:val="center"/>
      </w:pPr>
      <w:r>
        <w:rPr>
          <w:i/>
          <w:color w:val="595959"/>
          <w:sz w:val="17"/>
        </w:rPr>
        <w:t>Template for educational use. Screen labels &amp; navigation may vary by Oracle release.</w:t>
      </w:r>
    </w:p>
    <w:p/>
    <w:p>
      <w:r>
        <w:rPr>
          <w:b/>
          <w:color w:val="1F3864"/>
          <w:sz w:val="26"/>
        </w:rPr>
        <w:t>1. Purpose &amp; Scope</w:t>
      </w:r>
    </w:p>
    <w:p>
      <w:r>
        <w:t>This guide provides step-by-step instructions to build a Segregation of Duties (SoD) Access Model in Oracle Advanced Access Controls (AAC), deploy it as an Access Control for continuous monitoring, and manage the resulting incidents. It is intended for GRC analysts and Oracle security administrators.</w:t>
      </w:r>
    </w:p>
    <w:p>
      <w:r>
        <w:rPr>
          <w:b/>
          <w:color w:val="1F3864"/>
          <w:sz w:val="26"/>
        </w:rPr>
        <w:t>2. Key Concepts</w:t>
      </w:r>
    </w:p>
    <w:tbl>
      <w:tblPr>
        <w:tblStyle w:val="TableGrid"/>
        <w:tblW w:type="auto" w:w="0"/>
        <w:tblLook w:firstColumn="1" w:firstRow="1" w:lastColumn="0" w:lastRow="0" w:noHBand="0" w:noVBand="1" w:val="04A0"/>
      </w:tblPr>
      <w:tblGrid>
        <w:gridCol w:w="4320"/>
        <w:gridCol w:w="4320"/>
      </w:tblGrid>
      <w:tr>
        <w:tc>
          <w:tcPr>
            <w:tcW w:type="dxa" w:w="4320"/>
            <w:shd w:val="clear" w:color="auto" w:fill="2E5496"/>
          </w:tcPr>
          <w:p>
            <w:r>
              <w:rPr>
                <w:b/>
                <w:color w:val="FFFFFF"/>
                <w:sz w:val="19"/>
              </w:rPr>
              <w:t>Term</w:t>
            </w:r>
          </w:p>
        </w:tc>
        <w:tc>
          <w:tcPr>
            <w:tcW w:type="dxa" w:w="4320"/>
            <w:shd w:val="clear" w:color="auto" w:fill="2E5496"/>
          </w:tcPr>
          <w:p>
            <w:r>
              <w:rPr>
                <w:b/>
                <w:color w:val="FFFFFF"/>
                <w:sz w:val="19"/>
              </w:rPr>
              <w:t>Meaning</w:t>
            </w:r>
          </w:p>
        </w:tc>
      </w:tr>
      <w:tr>
        <w:tc>
          <w:tcPr>
            <w:tcW w:type="dxa" w:w="4320"/>
          </w:tcPr>
          <w:p>
            <w:r>
              <w:rPr>
                <w:sz w:val="19"/>
              </w:rPr>
              <w:t>Access Point</w:t>
            </w:r>
          </w:p>
        </w:tc>
        <w:tc>
          <w:tcPr>
            <w:tcW w:type="dxa" w:w="4320"/>
          </w:tcPr>
          <w:p>
            <w:r>
              <w:rPr>
                <w:sz w:val="19"/>
              </w:rPr>
              <w:t>A grantable security artefact - a privilege, aggregate privilege, duty role, job role or function that lets a user perform an action.</w:t>
            </w:r>
          </w:p>
        </w:tc>
      </w:tr>
      <w:tr>
        <w:tc>
          <w:tcPr>
            <w:tcW w:type="dxa" w:w="4320"/>
          </w:tcPr>
          <w:p>
            <w:r>
              <w:rPr>
                <w:sz w:val="19"/>
              </w:rPr>
              <w:t>Entitlement</w:t>
            </w:r>
          </w:p>
        </w:tc>
        <w:tc>
          <w:tcPr>
            <w:tcW w:type="dxa" w:w="4320"/>
          </w:tcPr>
          <w:p>
            <w:r>
              <w:rPr>
                <w:sz w:val="19"/>
              </w:rPr>
              <w:t>A reusable, named group of related access points, used to keep models consistent.</w:t>
            </w:r>
          </w:p>
        </w:tc>
      </w:tr>
      <w:tr>
        <w:tc>
          <w:tcPr>
            <w:tcW w:type="dxa" w:w="4320"/>
          </w:tcPr>
          <w:p>
            <w:r>
              <w:rPr>
                <w:sz w:val="19"/>
              </w:rPr>
              <w:t>Access Model</w:t>
            </w:r>
          </w:p>
        </w:tc>
        <w:tc>
          <w:tcPr>
            <w:tcW w:type="dxa" w:w="4320"/>
          </w:tcPr>
          <w:p>
            <w:r>
              <w:rPr>
                <w:sz w:val="19"/>
              </w:rPr>
              <w:t>The design/simulation object where conflict logic is defined and analysed (like a sandbox). No incidents are generated for records here.</w:t>
            </w:r>
          </w:p>
        </w:tc>
      </w:tr>
      <w:tr>
        <w:tc>
          <w:tcPr>
            <w:tcW w:type="dxa" w:w="4320"/>
          </w:tcPr>
          <w:p>
            <w:r>
              <w:rPr>
                <w:sz w:val="19"/>
              </w:rPr>
              <w:t>Access Control</w:t>
            </w:r>
          </w:p>
        </w:tc>
        <w:tc>
          <w:tcPr>
            <w:tcW w:type="dxa" w:w="4320"/>
          </w:tcPr>
          <w:p>
            <w:r>
              <w:rPr>
                <w:sz w:val="19"/>
              </w:rPr>
              <w:t>A deployed model that runs against live data on each synchronisation and generates incidents.</w:t>
            </w:r>
          </w:p>
        </w:tc>
      </w:tr>
      <w:tr>
        <w:tc>
          <w:tcPr>
            <w:tcW w:type="dxa" w:w="4320"/>
          </w:tcPr>
          <w:p>
            <w:r>
              <w:rPr>
                <w:sz w:val="19"/>
              </w:rPr>
              <w:t>Incident</w:t>
            </w:r>
          </w:p>
        </w:tc>
        <w:tc>
          <w:tcPr>
            <w:tcW w:type="dxa" w:w="4320"/>
          </w:tcPr>
          <w:p>
            <w:r>
              <w:rPr>
                <w:sz w:val="19"/>
              </w:rPr>
              <w:t>A record showing a user who violates the control (holds the conflicting access).</w:t>
            </w:r>
          </w:p>
        </w:tc>
      </w:tr>
      <w:tr>
        <w:tc>
          <w:tcPr>
            <w:tcW w:type="dxa" w:w="4320"/>
          </w:tcPr>
          <w:p>
            <w:r>
              <w:rPr>
                <w:sz w:val="19"/>
              </w:rPr>
              <w:t>Path-based analysis</w:t>
            </w:r>
          </w:p>
        </w:tc>
        <w:tc>
          <w:tcPr>
            <w:tcW w:type="dxa" w:w="4320"/>
          </w:tcPr>
          <w:p>
            <w:r>
              <w:rPr>
                <w:sz w:val="19"/>
              </w:rPr>
              <w:t>AAC traces the full security path (User -&gt; Role -&gt; Duty -&gt; Privilege) to confirm access is actually reachable, reducing false positives.</w:t>
            </w:r>
          </w:p>
        </w:tc>
      </w:tr>
    </w:tbl>
    <w:p>
      <w:r>
        <w:t>Rule of thumb: Model = blueprint you test and tune; Control = the running engine that monitors and raises incidents.</w:t>
      </w:r>
    </w:p>
    <w:p>
      <w:r>
        <w:rPr>
          <w:b/>
          <w:color w:val="1F3864"/>
          <w:sz w:val="26"/>
        </w:rPr>
        <w:t>3. Prerequisites</w:t>
      </w:r>
    </w:p>
    <w:p>
      <w:pPr>
        <w:pStyle w:val="ListBullet"/>
      </w:pPr>
      <w:r>
        <w:t>Roles: an AAC-enabled role such as those granting 'Manage Models' and 'Manage Controls' (e.g., Access Model/Control management duties within the Risk Management job roles).</w:t>
      </w:r>
    </w:p>
    <w:p>
      <w:pPr>
        <w:pStyle w:val="ListBullet"/>
      </w:pPr>
      <w:r>
        <w:t>Global User Synchronization / data sync jobs must have completed so AAC has current user, role and access-point data.</w:t>
      </w:r>
    </w:p>
    <w:p>
      <w:pPr>
        <w:pStyle w:val="ListBullet"/>
      </w:pPr>
      <w:r>
        <w:t>Perspectives (optional) set up for organising and routing controls (e.g., by Business Unit or Process).</w:t>
      </w:r>
    </w:p>
    <w:p>
      <w:pPr>
        <w:pStyle w:val="ListBullet"/>
      </w:pPr>
      <w:r>
        <w:t>An agreed SoD ruleset (see 12_SoD_Ruleset tab in the workpaper package) defining the conflicting function pairs.</w:t>
      </w:r>
    </w:p>
    <w:p>
      <w:r>
        <w:rPr>
          <w:b/>
          <w:color w:val="1F3864"/>
          <w:sz w:val="26"/>
        </w:rPr>
        <w:t>4. Navigation</w:t>
      </w:r>
    </w:p>
    <w:p>
      <w:r>
        <w:rPr>
          <w:b/>
          <w:color w:val="375623"/>
          <w:sz w:val="19"/>
        </w:rPr>
        <w:t xml:space="preserve">[Screen] </w:t>
      </w:r>
      <w:r>
        <w:rPr>
          <w:i/>
          <w:color w:val="595959"/>
          <w:sz w:val="19"/>
        </w:rPr>
        <w:t>Navigator (hamburger menu) &gt; Risk Management &gt; Advanced Controls</w:t>
      </w:r>
    </w:p>
    <w:p>
      <w:r>
        <w:t>The Advanced Controls work area opens with tabs including Models, Controls, Results, and Scheduling. All model-building happens under the Models tab.</w:t>
      </w:r>
    </w:p>
    <w:p>
      <w:r>
        <w:rPr>
          <w:b/>
          <w:color w:val="1F3864"/>
          <w:sz w:val="26"/>
        </w:rPr>
        <w:t>5. Build an Access Model (Step-by-Step)</w:t>
      </w:r>
    </w:p>
    <w:p>
      <w:r>
        <w:t>Worked example: build a model for SOD-01 - 'Maintain Supplier' conflicts with 'Process AP Payment'.</w:t>
      </w:r>
    </w:p>
    <w:p>
      <w:r>
        <w:rPr>
          <w:b/>
          <w:color w:val="1F3864"/>
        </w:rPr>
        <w:t xml:space="preserve">Step 1: </w:t>
      </w:r>
      <w:r>
        <w:t>Open the Models tab.</w:t>
      </w:r>
    </w:p>
    <w:p>
      <w:r>
        <w:rPr>
          <w:b/>
          <w:color w:val="375623"/>
          <w:sz w:val="19"/>
        </w:rPr>
        <w:t xml:space="preserve">[Screen] </w:t>
      </w:r>
      <w:r>
        <w:rPr>
          <w:i/>
          <w:color w:val="595959"/>
          <w:sz w:val="19"/>
        </w:rPr>
        <w:t>Advanced Controls &gt; Models</w:t>
      </w:r>
    </w:p>
    <w:p>
      <w:r>
        <w:rPr>
          <w:b/>
          <w:color w:val="1F3864"/>
        </w:rPr>
        <w:t xml:space="preserve">Step 2: </w:t>
      </w:r>
      <w:r>
        <w:t>Create a new access model.</w:t>
      </w:r>
    </w:p>
    <w:p>
      <w:r>
        <w:rPr>
          <w:b/>
          <w:color w:val="375623"/>
          <w:sz w:val="19"/>
        </w:rPr>
        <w:t xml:space="preserve">[Screen] </w:t>
      </w:r>
      <w:r>
        <w:rPr>
          <w:i/>
          <w:color w:val="595959"/>
          <w:sz w:val="19"/>
        </w:rPr>
        <w:t>Actions menu &gt; Create &gt; Access Model</w:t>
      </w:r>
    </w:p>
    <w:p>
      <w:pPr>
        <w:pStyle w:val="ListBullet"/>
      </w:pPr>
      <w:r>
        <w:t>Name: SOD-01 Maintain Supplier vs Process Payment</w:t>
      </w:r>
    </w:p>
    <w:p>
      <w:pPr>
        <w:pStyle w:val="ListBullet"/>
      </w:pPr>
      <w:r>
        <w:t>Description: Detects users who can both maintain suppliers and process AP payments.</w:t>
      </w:r>
    </w:p>
    <w:p>
      <w:pPr>
        <w:pStyle w:val="ListBullet"/>
      </w:pPr>
      <w:r>
        <w:t>State/Status: set to Active (or Draft while still building).</w:t>
      </w:r>
    </w:p>
    <w:p>
      <w:r>
        <w:rPr>
          <w:b/>
          <w:color w:val="1F3864"/>
        </w:rPr>
        <w:t xml:space="preserve">Step 3: </w:t>
      </w:r>
      <w:r>
        <w:t>Add the first access point group (Function A).</w:t>
      </w:r>
    </w:p>
    <w:p>
      <w:r>
        <w:rPr>
          <w:b/>
          <w:color w:val="375623"/>
          <w:sz w:val="19"/>
        </w:rPr>
        <w:t xml:space="preserve">[Screen] </w:t>
      </w:r>
      <w:r>
        <w:rPr>
          <w:i/>
          <w:color w:val="595959"/>
          <w:sz w:val="19"/>
        </w:rPr>
        <w:t>Model definition page &gt; Access Point Groups / Add Filter</w:t>
      </w:r>
    </w:p>
    <w:p>
      <w:pPr>
        <w:pStyle w:val="ListBullet"/>
      </w:pPr>
      <w:r>
        <w:t>Create a group and add the access point(s) representing 'Maintain Supplier' (e.g., the privilege/duty 'Manage Suppliers' / 'Supplier Profile Management Duty').</w:t>
      </w:r>
    </w:p>
    <w:p>
      <w:pPr>
        <w:pStyle w:val="ListBullet"/>
      </w:pPr>
      <w:r>
        <w:t>Prefer adding an Entitlement if one exists, so the same access-point set is reused across models.</w:t>
      </w:r>
    </w:p>
    <w:p>
      <w:r>
        <w:rPr>
          <w:b/>
          <w:color w:val="1F3864"/>
        </w:rPr>
        <w:t xml:space="preserve">Step 4: </w:t>
      </w:r>
      <w:r>
        <w:t>Add the second access point group (Function B).</w:t>
      </w:r>
    </w:p>
    <w:p>
      <w:pPr>
        <w:pStyle w:val="ListBullet"/>
      </w:pPr>
      <w:r>
        <w:t>Create a second group and add the access point(s) representing 'Process AP Payment' (e.g., 'Create Payment' / 'Payables Payment Duty').</w:t>
      </w:r>
    </w:p>
    <w:p>
      <w:r>
        <w:rPr>
          <w:b/>
          <w:color w:val="1F3864"/>
        </w:rPr>
        <w:t xml:space="preserve">Step 5: </w:t>
      </w:r>
      <w:r>
        <w:t>Define the conflict logic between the groups.</w:t>
      </w:r>
    </w:p>
    <w:p>
      <w:pPr>
        <w:pStyle w:val="ListBullet"/>
      </w:pPr>
      <w:r>
        <w:t>Set the access-within logic (user has ANY vs ALL of the access points in a group) - typically ANY for each group.</w:t>
      </w:r>
    </w:p>
    <w:p>
      <w:pPr>
        <w:pStyle w:val="ListBullet"/>
      </w:pPr>
      <w:r>
        <w:t>Set the relationship so an incident is raised when a user has access in Group A AND access in Group B.</w:t>
      </w:r>
    </w:p>
    <w:p>
      <w:r>
        <w:rPr>
          <w:b/>
          <w:color w:val="1F3864"/>
        </w:rPr>
        <w:t xml:space="preserve">Step 6: </w:t>
      </w:r>
      <w:r>
        <w:t>Add condition filters to reduce noise (optional but recommended).</w:t>
      </w:r>
    </w:p>
    <w:p>
      <w:r>
        <w:rPr>
          <w:b/>
          <w:color w:val="375623"/>
          <w:sz w:val="19"/>
        </w:rPr>
        <w:t xml:space="preserve">[Screen] </w:t>
      </w:r>
      <w:r>
        <w:rPr>
          <w:i/>
          <w:color w:val="595959"/>
          <w:sz w:val="19"/>
        </w:rPr>
        <w:t>Model definition page &gt; Conditions / Filters</w:t>
      </w:r>
    </w:p>
    <w:p>
      <w:pPr>
        <w:pStyle w:val="ListBullet"/>
      </w:pPr>
      <w:r>
        <w:t>Exclude legitimate exceptions - e.g., exclude specific IT admin users, or filter by an attribute such as active users only.</w:t>
      </w:r>
    </w:p>
    <w:p>
      <w:pPr>
        <w:pStyle w:val="ListBullet"/>
      </w:pPr>
      <w:r>
        <w:t>You can filter by user, role, or access-point attributes.</w:t>
      </w:r>
    </w:p>
    <w:p>
      <w:r>
        <w:rPr>
          <w:b/>
          <w:color w:val="1F3864"/>
        </w:rPr>
        <w:t xml:space="preserve">Step 7: </w:t>
      </w:r>
      <w:r>
        <w:t>Analyse the model.</w:t>
      </w:r>
    </w:p>
    <w:p>
      <w:r>
        <w:rPr>
          <w:b/>
          <w:color w:val="375623"/>
          <w:sz w:val="19"/>
        </w:rPr>
        <w:t xml:space="preserve">[Screen] </w:t>
      </w:r>
      <w:r>
        <w:rPr>
          <w:i/>
          <w:color w:val="595959"/>
          <w:sz w:val="19"/>
        </w:rPr>
        <w:t>Actions menu &gt; Analyze (results preview)</w:t>
      </w:r>
    </w:p>
    <w:p>
      <w:pPr>
        <w:pStyle w:val="ListBullet"/>
      </w:pPr>
      <w:r>
        <w:t>AAC runs the logic and shows the count of users/records that would violate. Review the sample results.</w:t>
      </w:r>
    </w:p>
    <w:p>
      <w:pPr>
        <w:pStyle w:val="ListBullet"/>
      </w:pPr>
      <w:r>
        <w:t>If too many false positives appear, refine conditions (Step 6) and re-analyse. Iterate until results are meaningful.</w:t>
      </w:r>
    </w:p>
    <w:p>
      <w:r>
        <w:rPr>
          <w:b/>
          <w:color w:val="1F3864"/>
        </w:rPr>
        <w:t xml:space="preserve">Step 8: </w:t>
      </w:r>
      <w:r>
        <w:t>Save the model.</w:t>
      </w:r>
    </w:p>
    <w:p>
      <w:pPr>
        <w:pStyle w:val="ListBullet"/>
      </w:pPr>
      <w:r>
        <w:t>Save once the analysed results look accurate. The model is now ready to deploy as a control.</w:t>
      </w:r>
    </w:p>
    <w:p>
      <w:r>
        <w:t>Repeat Steps 1-8 for each rule in the SoD ruleset (or import multiple models where your process allows).</w:t>
      </w:r>
    </w:p>
    <w:p>
      <w:r>
        <w:rPr>
          <w:b/>
          <w:color w:val="1F3864"/>
          <w:sz w:val="26"/>
        </w:rPr>
        <w:t>6. Deploy the Model as an Access Control</w:t>
      </w:r>
    </w:p>
    <w:p>
      <w:r>
        <w:rPr>
          <w:b/>
          <w:color w:val="1F3864"/>
        </w:rPr>
        <w:t xml:space="preserve">Step 1: </w:t>
      </w:r>
      <w:r>
        <w:t>Select the saved model and deploy it.</w:t>
      </w:r>
    </w:p>
    <w:p>
      <w:r>
        <w:rPr>
          <w:b/>
          <w:color w:val="375623"/>
          <w:sz w:val="19"/>
        </w:rPr>
        <w:t xml:space="preserve">[Screen] </w:t>
      </w:r>
      <w:r>
        <w:rPr>
          <w:i/>
          <w:color w:val="595959"/>
          <w:sz w:val="19"/>
        </w:rPr>
        <w:t>Models &gt; select model &gt; Actions &gt; Deploy as Control (or Deploy)</w:t>
      </w:r>
    </w:p>
    <w:p>
      <w:r>
        <w:rPr>
          <w:b/>
          <w:color w:val="1F3864"/>
        </w:rPr>
        <w:t xml:space="preserve">Step 2: </w:t>
      </w:r>
      <w:r>
        <w:t>Complete the control attributes.</w:t>
      </w:r>
    </w:p>
    <w:tbl>
      <w:tblPr>
        <w:tblStyle w:val="TableGrid"/>
        <w:tblW w:type="auto" w:w="0"/>
        <w:tblLook w:firstColumn="1" w:firstRow="1" w:lastColumn="0" w:lastRow="0" w:noHBand="0" w:noVBand="1" w:val="04A0"/>
      </w:tblPr>
      <w:tblGrid>
        <w:gridCol w:w="4320"/>
        <w:gridCol w:w="4320"/>
      </w:tblGrid>
      <w:tr>
        <w:tc>
          <w:tcPr>
            <w:tcW w:type="dxa" w:w="4320"/>
            <w:shd w:val="clear" w:color="auto" w:fill="2E5496"/>
          </w:tcPr>
          <w:p>
            <w:r>
              <w:rPr>
                <w:b/>
                <w:color w:val="FFFFFF"/>
                <w:sz w:val="19"/>
              </w:rPr>
              <w:t>Attribute</w:t>
            </w:r>
          </w:p>
        </w:tc>
        <w:tc>
          <w:tcPr>
            <w:tcW w:type="dxa" w:w="4320"/>
            <w:shd w:val="clear" w:color="auto" w:fill="2E5496"/>
          </w:tcPr>
          <w:p>
            <w:r>
              <w:rPr>
                <w:b/>
                <w:color w:val="FFFFFF"/>
                <w:sz w:val="19"/>
              </w:rPr>
              <w:t>Guidance</w:t>
            </w:r>
          </w:p>
        </w:tc>
      </w:tr>
      <w:tr>
        <w:tc>
          <w:tcPr>
            <w:tcW w:type="dxa" w:w="4320"/>
          </w:tcPr>
          <w:p>
            <w:r>
              <w:rPr>
                <w:sz w:val="19"/>
              </w:rPr>
              <w:t>Name / Description</w:t>
            </w:r>
          </w:p>
        </w:tc>
        <w:tc>
          <w:tcPr>
            <w:tcW w:type="dxa" w:w="4320"/>
          </w:tcPr>
          <w:p>
            <w:r>
              <w:rPr>
                <w:sz w:val="19"/>
              </w:rPr>
              <w:t>Carry over a clear, business-readable name.</w:t>
            </w:r>
          </w:p>
        </w:tc>
      </w:tr>
      <w:tr>
        <w:tc>
          <w:tcPr>
            <w:tcW w:type="dxa" w:w="4320"/>
          </w:tcPr>
          <w:p>
            <w:r>
              <w:rPr>
                <w:sz w:val="19"/>
              </w:rPr>
              <w:t>Priority</w:t>
            </w:r>
          </w:p>
        </w:tc>
        <w:tc>
          <w:tcPr>
            <w:tcW w:type="dxa" w:w="4320"/>
          </w:tcPr>
          <w:p>
            <w:r>
              <w:rPr>
                <w:sz w:val="19"/>
              </w:rPr>
              <w:t>Set High/Medium/Low aligned to the rule severity in the SoD ruleset.</w:t>
            </w:r>
          </w:p>
        </w:tc>
      </w:tr>
      <w:tr>
        <w:tc>
          <w:tcPr>
            <w:tcW w:type="dxa" w:w="4320"/>
          </w:tcPr>
          <w:p>
            <w:r>
              <w:rPr>
                <w:sz w:val="19"/>
              </w:rPr>
              <w:t>Result Type</w:t>
            </w:r>
          </w:p>
        </w:tc>
        <w:tc>
          <w:tcPr>
            <w:tcW w:type="dxa" w:w="4320"/>
          </w:tcPr>
          <w:p>
            <w:r>
              <w:rPr>
                <w:sz w:val="19"/>
              </w:rPr>
              <w:t>Access incidents (users who violate).</w:t>
            </w:r>
          </w:p>
        </w:tc>
      </w:tr>
      <w:tr>
        <w:tc>
          <w:tcPr>
            <w:tcW w:type="dxa" w:w="4320"/>
          </w:tcPr>
          <w:p>
            <w:r>
              <w:rPr>
                <w:sz w:val="19"/>
              </w:rPr>
              <w:t>Status</w:t>
            </w:r>
          </w:p>
        </w:tc>
        <w:tc>
          <w:tcPr>
            <w:tcW w:type="dxa" w:w="4320"/>
          </w:tcPr>
          <w:p>
            <w:r>
              <w:rPr>
                <w:sz w:val="19"/>
              </w:rPr>
              <w:t>Active (so it runs on each sync).</w:t>
            </w:r>
          </w:p>
        </w:tc>
      </w:tr>
      <w:tr>
        <w:tc>
          <w:tcPr>
            <w:tcW w:type="dxa" w:w="4320"/>
          </w:tcPr>
          <w:p>
            <w:r>
              <w:rPr>
                <w:sz w:val="19"/>
              </w:rPr>
              <w:t>Perspectives</w:t>
            </w:r>
          </w:p>
        </w:tc>
        <w:tc>
          <w:tcPr>
            <w:tcW w:type="dxa" w:w="4320"/>
          </w:tcPr>
          <w:p>
            <w:r>
              <w:rPr>
                <w:sz w:val="19"/>
              </w:rPr>
              <w:t>Assign perspective values (e.g., Process = P2P, BU = India) for routing &amp; reporting.</w:t>
            </w:r>
          </w:p>
        </w:tc>
      </w:tr>
    </w:tbl>
    <w:p>
      <w:r>
        <w:rPr>
          <w:b/>
          <w:color w:val="1F3864"/>
        </w:rPr>
        <w:t xml:space="preserve">Step 3: </w:t>
      </w:r>
      <w:r>
        <w:t>Assign result investigators / owners.</w:t>
      </w:r>
    </w:p>
    <w:p>
      <w:pPr>
        <w:pStyle w:val="ListBullet"/>
      </w:pPr>
      <w:r>
        <w:t>Assign the users or groups who will investigate and disposition incidents (e.g., GRC analyst, control owner).</w:t>
      </w:r>
    </w:p>
    <w:p>
      <w:r>
        <w:rPr>
          <w:b/>
          <w:color w:val="1F3864"/>
        </w:rPr>
        <w:t xml:space="preserve">Step 4: </w:t>
      </w:r>
      <w:r>
        <w:t>Confirm the run schedule.</w:t>
      </w:r>
    </w:p>
    <w:p>
      <w:r>
        <w:rPr>
          <w:b/>
          <w:color w:val="375623"/>
          <w:sz w:val="19"/>
        </w:rPr>
        <w:t xml:space="preserve">[Screen] </w:t>
      </w:r>
      <w:r>
        <w:rPr>
          <w:i/>
          <w:color w:val="595959"/>
          <w:sz w:val="19"/>
        </w:rPr>
        <w:t>Advanced Controls &gt; Scheduling</w:t>
      </w:r>
    </w:p>
    <w:p>
      <w:pPr>
        <w:pStyle w:val="ListBullet"/>
      </w:pPr>
      <w:r>
        <w:t>Controls evaluate when the synchronization/analysis job runs. Ensure a regular schedule (e.g., daily/weekly) is active.</w:t>
      </w:r>
    </w:p>
    <w:p>
      <w:r>
        <w:rPr>
          <w:b/>
          <w:color w:val="1F3864"/>
        </w:rPr>
        <w:t xml:space="preserve">Step 5: </w:t>
      </w:r>
      <w:r>
        <w:t>Submit / activate the control.</w:t>
      </w:r>
    </w:p>
    <w:p>
      <w:pPr>
        <w:pStyle w:val="ListBullet"/>
      </w:pPr>
      <w:r>
        <w:t>On the next scheduled run, the control generates incidents for all users who hold the conflicting access across the full population.</w:t>
      </w:r>
    </w:p>
    <w:p>
      <w:r>
        <w:rPr>
          <w:b/>
          <w:color w:val="1F3864"/>
          <w:sz w:val="26"/>
        </w:rPr>
        <w:t>7. Manage Incidents (Results)</w:t>
      </w:r>
    </w:p>
    <w:p>
      <w:r>
        <w:rPr>
          <w:b/>
          <w:color w:val="375623"/>
          <w:sz w:val="19"/>
        </w:rPr>
        <w:t xml:space="preserve">[Screen] </w:t>
      </w:r>
      <w:r>
        <w:rPr>
          <w:i/>
          <w:color w:val="595959"/>
          <w:sz w:val="19"/>
        </w:rPr>
        <w:t>Advanced Controls &gt; Results &gt; Access</w:t>
      </w:r>
    </w:p>
    <w:p>
      <w:r>
        <w:t>Each incident represents a user violating the control. Investigate and set a disposition using the incident status workflow.</w:t>
      </w:r>
    </w:p>
    <w:tbl>
      <w:tblPr>
        <w:tblStyle w:val="TableGrid"/>
        <w:tblW w:type="auto" w:w="0"/>
        <w:tblLook w:firstColumn="1" w:firstRow="1" w:lastColumn="0" w:lastRow="0" w:noHBand="0" w:noVBand="1" w:val="04A0"/>
      </w:tblPr>
      <w:tblGrid>
        <w:gridCol w:w="4320"/>
        <w:gridCol w:w="4320"/>
      </w:tblGrid>
      <w:tr>
        <w:tc>
          <w:tcPr>
            <w:tcW w:type="dxa" w:w="4320"/>
            <w:shd w:val="clear" w:color="auto" w:fill="2E5496"/>
          </w:tcPr>
          <w:p>
            <w:r>
              <w:rPr>
                <w:b/>
                <w:color w:val="FFFFFF"/>
                <w:sz w:val="19"/>
              </w:rPr>
              <w:t>Incident Status</w:t>
            </w:r>
          </w:p>
        </w:tc>
        <w:tc>
          <w:tcPr>
            <w:tcW w:type="dxa" w:w="4320"/>
            <w:shd w:val="clear" w:color="auto" w:fill="2E5496"/>
          </w:tcPr>
          <w:p>
            <w:r>
              <w:rPr>
                <w:b/>
                <w:color w:val="FFFFFF"/>
                <w:sz w:val="19"/>
              </w:rPr>
              <w:t>Meaning / When to use</w:t>
            </w:r>
          </w:p>
        </w:tc>
      </w:tr>
      <w:tr>
        <w:tc>
          <w:tcPr>
            <w:tcW w:type="dxa" w:w="4320"/>
          </w:tcPr>
          <w:p>
            <w:r>
              <w:rPr>
                <w:sz w:val="19"/>
              </w:rPr>
              <w:t>Assigned</w:t>
            </w:r>
          </w:p>
        </w:tc>
        <w:tc>
          <w:tcPr>
            <w:tcW w:type="dxa" w:w="4320"/>
          </w:tcPr>
          <w:p>
            <w:r>
              <w:rPr>
                <w:sz w:val="19"/>
              </w:rPr>
              <w:t>Newly generated, awaiting investigation.</w:t>
            </w:r>
          </w:p>
        </w:tc>
      </w:tr>
      <w:tr>
        <w:tc>
          <w:tcPr>
            <w:tcW w:type="dxa" w:w="4320"/>
          </w:tcPr>
          <w:p>
            <w:r>
              <w:rPr>
                <w:sz w:val="19"/>
              </w:rPr>
              <w:t>In Investigation</w:t>
            </w:r>
          </w:p>
        </w:tc>
        <w:tc>
          <w:tcPr>
            <w:tcW w:type="dxa" w:w="4320"/>
          </w:tcPr>
          <w:p>
            <w:r>
              <w:rPr>
                <w:sz w:val="19"/>
              </w:rPr>
              <w:t>Analyst is reviewing the conflict and business context.</w:t>
            </w:r>
          </w:p>
        </w:tc>
      </w:tr>
      <w:tr>
        <w:tc>
          <w:tcPr>
            <w:tcW w:type="dxa" w:w="4320"/>
          </w:tcPr>
          <w:p>
            <w:r>
              <w:rPr>
                <w:sz w:val="19"/>
              </w:rPr>
              <w:t>Accepted</w:t>
            </w:r>
          </w:p>
        </w:tc>
        <w:tc>
          <w:tcPr>
            <w:tcW w:type="dxa" w:w="4320"/>
          </w:tcPr>
          <w:p>
            <w:r>
              <w:rPr>
                <w:sz w:val="19"/>
              </w:rPr>
              <w:t>Risk formally accepted with documented justification (management sign-off).</w:t>
            </w:r>
          </w:p>
        </w:tc>
      </w:tr>
      <w:tr>
        <w:tc>
          <w:tcPr>
            <w:tcW w:type="dxa" w:w="4320"/>
          </w:tcPr>
          <w:p>
            <w:r>
              <w:rPr>
                <w:sz w:val="19"/>
              </w:rPr>
              <w:t>Remediate</w:t>
            </w:r>
          </w:p>
        </w:tc>
        <w:tc>
          <w:tcPr>
            <w:tcW w:type="dxa" w:w="4320"/>
          </w:tcPr>
          <w:p>
            <w:r>
              <w:rPr>
                <w:sz w:val="19"/>
              </w:rPr>
              <w:t>Access will be removed / role redesigned to clear the conflict.</w:t>
            </w:r>
          </w:p>
        </w:tc>
      </w:tr>
      <w:tr>
        <w:tc>
          <w:tcPr>
            <w:tcW w:type="dxa" w:w="4320"/>
          </w:tcPr>
          <w:p>
            <w:r>
              <w:rPr>
                <w:sz w:val="19"/>
              </w:rPr>
              <w:t>Resolved / Closed</w:t>
            </w:r>
          </w:p>
        </w:tc>
        <w:tc>
          <w:tcPr>
            <w:tcW w:type="dxa" w:w="4320"/>
          </w:tcPr>
          <w:p>
            <w:r>
              <w:rPr>
                <w:sz w:val="19"/>
              </w:rPr>
              <w:t>Conflict addressed; on next run it no longer appears (Closed).</w:t>
            </w:r>
          </w:p>
        </w:tc>
      </w:tr>
      <w:tr>
        <w:tc>
          <w:tcPr>
            <w:tcW w:type="dxa" w:w="4320"/>
          </w:tcPr>
          <w:p>
            <w:r>
              <w:rPr>
                <w:sz w:val="19"/>
              </w:rPr>
              <w:t>Control Inactive</w:t>
            </w:r>
          </w:p>
        </w:tc>
        <w:tc>
          <w:tcPr>
            <w:tcW w:type="dxa" w:w="4320"/>
          </w:tcPr>
          <w:p>
            <w:r>
              <w:rPr>
                <w:sz w:val="19"/>
              </w:rPr>
              <w:t>Set when a control is retired; associated incidents are closed.</w:t>
            </w:r>
          </w:p>
        </w:tc>
      </w:tr>
    </w:tbl>
    <w:p>
      <w:r>
        <w:t>For each incident, record a comment, attach the mitigating/compensating control where access must remain, and route to the owner. Track remediation in the 17_Remediation_Roadmap tab.</w:t>
      </w:r>
    </w:p>
    <w:p>
      <w:r>
        <w:rPr>
          <w:b/>
          <w:color w:val="1F3864"/>
          <w:sz w:val="26"/>
        </w:rPr>
        <w:t>8. Tuning &amp; Best Practices</w:t>
      </w:r>
    </w:p>
    <w:p>
      <w:pPr>
        <w:pStyle w:val="ListBullet"/>
      </w:pPr>
      <w:r>
        <w:t>Start broad, then tune: expect many results on first run; refine conditions to cut false positives (target &lt; 10%).</w:t>
      </w:r>
    </w:p>
    <w:p>
      <w:pPr>
        <w:pStyle w:val="ListBullet"/>
      </w:pPr>
      <w:r>
        <w:t>Use Entitlements for reusable access-point groups so models stay consistent and maintainable.</w:t>
      </w:r>
    </w:p>
    <w:p>
      <w:pPr>
        <w:pStyle w:val="ListBullet"/>
      </w:pPr>
      <w:r>
        <w:t>Rely on path-based analysis - confirm access is actually reachable, not just assigned.</w:t>
      </w:r>
    </w:p>
    <w:p>
      <w:pPr>
        <w:pStyle w:val="ListBullet"/>
      </w:pPr>
      <w:r>
        <w:t>Use global conditions to consistently exclude known legitimate access (e.g., break-glass IT admin).</w:t>
      </w:r>
    </w:p>
    <w:p>
      <w:pPr>
        <w:pStyle w:val="ListBullet"/>
      </w:pPr>
      <w:r>
        <w:t>Never deploy seeded roles unchanged - copy, then remove conflicting duties (see 14_Role_Design tab).</w:t>
      </w:r>
    </w:p>
    <w:p>
      <w:pPr>
        <w:pStyle w:val="ListBullet"/>
      </w:pPr>
      <w:r>
        <w:t>Simulate role changes in a model before provisioning to a user (preventive SoD).</w:t>
      </w:r>
    </w:p>
    <w:p>
      <w:pPr>
        <w:pStyle w:val="ListBullet"/>
      </w:pPr>
      <w:r>
        <w:t>Schedule regular synchronization so monitoring stays near-real-time.</w:t>
      </w:r>
    </w:p>
    <w:p>
      <w:pPr>
        <w:pStyle w:val="ListBullet"/>
      </w:pPr>
      <w:r>
        <w:t>Review dashboard KPIs each cycle (see 19_Monitoring_Dashboard tab) - aging, MTTR, false-positive rate.</w:t>
      </w:r>
    </w:p>
    <w:p>
      <w:r>
        <w:rPr>
          <w:b/>
          <w:color w:val="1F3864"/>
          <w:sz w:val="26"/>
        </w:rPr>
        <w:t>9. Common Conflict Models (starter set)</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2E5496"/>
          </w:tcPr>
          <w:p>
            <w:r>
              <w:rPr>
                <w:b/>
                <w:color w:val="FFFFFF"/>
                <w:sz w:val="19"/>
              </w:rPr>
              <w:t>Rule</w:t>
            </w:r>
          </w:p>
        </w:tc>
        <w:tc>
          <w:tcPr>
            <w:tcW w:type="dxa" w:w="3312"/>
            <w:shd w:val="clear" w:color="auto" w:fill="2E5496"/>
          </w:tcPr>
          <w:p>
            <w:r>
              <w:rPr>
                <w:b/>
                <w:color w:val="FFFFFF"/>
                <w:sz w:val="19"/>
              </w:rPr>
              <w:t>Group A (Function)</w:t>
            </w:r>
          </w:p>
        </w:tc>
        <w:tc>
          <w:tcPr>
            <w:tcW w:type="dxa" w:w="3312"/>
            <w:shd w:val="clear" w:color="auto" w:fill="2E5496"/>
          </w:tcPr>
          <w:p>
            <w:r>
              <w:rPr>
                <w:b/>
                <w:color w:val="FFFFFF"/>
                <w:sz w:val="19"/>
              </w:rPr>
              <w:t>Group B (Conflicts with)</w:t>
            </w:r>
          </w:p>
        </w:tc>
        <w:tc>
          <w:tcPr>
            <w:tcW w:type="dxa" w:w="1440"/>
            <w:shd w:val="clear" w:color="auto" w:fill="2E5496"/>
          </w:tcPr>
          <w:p>
            <w:r>
              <w:rPr>
                <w:b/>
                <w:color w:val="FFFFFF"/>
                <w:sz w:val="19"/>
              </w:rPr>
              <w:t>Priority</w:t>
            </w:r>
          </w:p>
        </w:tc>
      </w:tr>
      <w:tr>
        <w:tc>
          <w:tcPr>
            <w:tcW w:type="dxa" w:w="1152"/>
          </w:tcPr>
          <w:p>
            <w:r>
              <w:rPr>
                <w:sz w:val="19"/>
              </w:rPr>
              <w:t>SOD-01</w:t>
            </w:r>
          </w:p>
        </w:tc>
        <w:tc>
          <w:tcPr>
            <w:tcW w:type="dxa" w:w="3312"/>
          </w:tcPr>
          <w:p>
            <w:r>
              <w:rPr>
                <w:sz w:val="19"/>
              </w:rPr>
              <w:t>Maintain Supplier</w:t>
            </w:r>
          </w:p>
        </w:tc>
        <w:tc>
          <w:tcPr>
            <w:tcW w:type="dxa" w:w="3312"/>
          </w:tcPr>
          <w:p>
            <w:r>
              <w:rPr>
                <w:sz w:val="19"/>
              </w:rPr>
              <w:t>Process AP Payment</w:t>
            </w:r>
          </w:p>
        </w:tc>
        <w:tc>
          <w:tcPr>
            <w:tcW w:type="dxa" w:w="1440"/>
          </w:tcPr>
          <w:p>
            <w:r>
              <w:rPr>
                <w:sz w:val="19"/>
              </w:rPr>
              <w:t>High</w:t>
            </w:r>
          </w:p>
        </w:tc>
      </w:tr>
      <w:tr>
        <w:tc>
          <w:tcPr>
            <w:tcW w:type="dxa" w:w="1152"/>
          </w:tcPr>
          <w:p>
            <w:r>
              <w:rPr>
                <w:sz w:val="19"/>
              </w:rPr>
              <w:t>SOD-03</w:t>
            </w:r>
          </w:p>
        </w:tc>
        <w:tc>
          <w:tcPr>
            <w:tcW w:type="dxa" w:w="3312"/>
          </w:tcPr>
          <w:p>
            <w:r>
              <w:rPr>
                <w:sz w:val="19"/>
              </w:rPr>
              <w:t>Enter Purchase Order</w:t>
            </w:r>
          </w:p>
        </w:tc>
        <w:tc>
          <w:tcPr>
            <w:tcW w:type="dxa" w:w="3312"/>
          </w:tcPr>
          <w:p>
            <w:r>
              <w:rPr>
                <w:sz w:val="19"/>
              </w:rPr>
              <w:t>Approve Purchase Order</w:t>
            </w:r>
          </w:p>
        </w:tc>
        <w:tc>
          <w:tcPr>
            <w:tcW w:type="dxa" w:w="1440"/>
          </w:tcPr>
          <w:p>
            <w:r>
              <w:rPr>
                <w:sz w:val="19"/>
              </w:rPr>
              <w:t>High</w:t>
            </w:r>
          </w:p>
        </w:tc>
      </w:tr>
      <w:tr>
        <w:tc>
          <w:tcPr>
            <w:tcW w:type="dxa" w:w="1152"/>
          </w:tcPr>
          <w:p>
            <w:r>
              <w:rPr>
                <w:sz w:val="19"/>
              </w:rPr>
              <w:t>SOD-28</w:t>
            </w:r>
          </w:p>
        </w:tc>
        <w:tc>
          <w:tcPr>
            <w:tcW w:type="dxa" w:w="3312"/>
          </w:tcPr>
          <w:p>
            <w:r>
              <w:rPr>
                <w:sz w:val="19"/>
              </w:rPr>
              <w:t>Create Journal Entry</w:t>
            </w:r>
          </w:p>
        </w:tc>
        <w:tc>
          <w:tcPr>
            <w:tcW w:type="dxa" w:w="3312"/>
          </w:tcPr>
          <w:p>
            <w:r>
              <w:rPr>
                <w:sz w:val="19"/>
              </w:rPr>
              <w:t>Approve Journal Entry</w:t>
            </w:r>
          </w:p>
        </w:tc>
        <w:tc>
          <w:tcPr>
            <w:tcW w:type="dxa" w:w="1440"/>
          </w:tcPr>
          <w:p>
            <w:r>
              <w:rPr>
                <w:sz w:val="19"/>
              </w:rPr>
              <w:t>High</w:t>
            </w:r>
          </w:p>
        </w:tc>
      </w:tr>
      <w:tr>
        <w:tc>
          <w:tcPr>
            <w:tcW w:type="dxa" w:w="1152"/>
          </w:tcPr>
          <w:p>
            <w:r>
              <w:rPr>
                <w:sz w:val="19"/>
              </w:rPr>
              <w:t>SOD-65</w:t>
            </w:r>
          </w:p>
        </w:tc>
        <w:tc>
          <w:tcPr>
            <w:tcW w:type="dxa" w:w="3312"/>
          </w:tcPr>
          <w:p>
            <w:r>
              <w:rPr>
                <w:sz w:val="19"/>
              </w:rPr>
              <w:t>Maintain Bank Account</w:t>
            </w:r>
          </w:p>
        </w:tc>
        <w:tc>
          <w:tcPr>
            <w:tcW w:type="dxa" w:w="3312"/>
          </w:tcPr>
          <w:p>
            <w:r>
              <w:rPr>
                <w:sz w:val="19"/>
              </w:rPr>
              <w:t>Make Payment</w:t>
            </w:r>
          </w:p>
        </w:tc>
        <w:tc>
          <w:tcPr>
            <w:tcW w:type="dxa" w:w="1440"/>
          </w:tcPr>
          <w:p>
            <w:r>
              <w:rPr>
                <w:sz w:val="19"/>
              </w:rPr>
              <w:t>High</w:t>
            </w:r>
          </w:p>
        </w:tc>
      </w:tr>
      <w:tr>
        <w:tc>
          <w:tcPr>
            <w:tcW w:type="dxa" w:w="1152"/>
          </w:tcPr>
          <w:p>
            <w:r>
              <w:rPr>
                <w:sz w:val="19"/>
              </w:rPr>
              <w:t>SOD-73</w:t>
            </w:r>
          </w:p>
        </w:tc>
        <w:tc>
          <w:tcPr>
            <w:tcW w:type="dxa" w:w="3312"/>
          </w:tcPr>
          <w:p>
            <w:r>
              <w:rPr>
                <w:sz w:val="19"/>
              </w:rPr>
              <w:t>User Administration</w:t>
            </w:r>
          </w:p>
        </w:tc>
        <w:tc>
          <w:tcPr>
            <w:tcW w:type="dxa" w:w="3312"/>
          </w:tcPr>
          <w:p>
            <w:r>
              <w:rPr>
                <w:sz w:val="19"/>
              </w:rPr>
              <w:t>Any Financial Transaction</w:t>
            </w:r>
          </w:p>
        </w:tc>
        <w:tc>
          <w:tcPr>
            <w:tcW w:type="dxa" w:w="1440"/>
          </w:tcPr>
          <w:p>
            <w:r>
              <w:rPr>
                <w:sz w:val="19"/>
              </w:rPr>
              <w:t>Critical</w:t>
            </w:r>
          </w:p>
        </w:tc>
      </w:tr>
    </w:tbl>
    <w:p>
      <w:r>
        <w:t>Full 87-rule ruleset is in the 12_SoD_Ruleset tab of the workpaper package.</w:t>
      </w:r>
    </w:p>
    <w:p>
      <w:r>
        <w:rPr>
          <w:b/>
          <w:color w:val="1F3864"/>
          <w:sz w:val="26"/>
        </w:rPr>
        <w:t>10. Troubleshooting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496"/>
          </w:tcPr>
          <w:p>
            <w:r>
              <w:rPr>
                <w:b/>
                <w:color w:val="FFFFFF"/>
                <w:sz w:val="19"/>
              </w:rPr>
              <w:t>Symptom</w:t>
            </w:r>
          </w:p>
        </w:tc>
        <w:tc>
          <w:tcPr>
            <w:tcW w:type="dxa" w:w="2880"/>
            <w:shd w:val="clear" w:color="auto" w:fill="2E5496"/>
          </w:tcPr>
          <w:p>
            <w:r>
              <w:rPr>
                <w:b/>
                <w:color w:val="FFFFFF"/>
                <w:sz w:val="19"/>
              </w:rPr>
              <w:t>Likely Cause</w:t>
            </w:r>
          </w:p>
        </w:tc>
        <w:tc>
          <w:tcPr>
            <w:tcW w:type="dxa" w:w="2880"/>
            <w:shd w:val="clear" w:color="auto" w:fill="2E5496"/>
          </w:tcPr>
          <w:p>
            <w:r>
              <w:rPr>
                <w:b/>
                <w:color w:val="FFFFFF"/>
                <w:sz w:val="19"/>
              </w:rPr>
              <w:t>Action</w:t>
            </w:r>
          </w:p>
        </w:tc>
      </w:tr>
      <w:tr>
        <w:tc>
          <w:tcPr>
            <w:tcW w:type="dxa" w:w="2880"/>
          </w:tcPr>
          <w:p>
            <w:r>
              <w:rPr>
                <w:sz w:val="19"/>
              </w:rPr>
              <w:t>Model returns 0 results but conflicts exist</w:t>
            </w:r>
          </w:p>
        </w:tc>
        <w:tc>
          <w:tcPr>
            <w:tcW w:type="dxa" w:w="2880"/>
          </w:tcPr>
          <w:p>
            <w:r>
              <w:rPr>
                <w:sz w:val="19"/>
              </w:rPr>
              <w:t>Wrong/too-narrow access points; user sync not run</w:t>
            </w:r>
          </w:p>
        </w:tc>
        <w:tc>
          <w:tcPr>
            <w:tcW w:type="dxa" w:w="2880"/>
          </w:tcPr>
          <w:p>
            <w:r>
              <w:rPr>
                <w:sz w:val="19"/>
              </w:rPr>
              <w:t>Verify access points map to real privileges; run synchronization; re-analyse.</w:t>
            </w:r>
          </w:p>
        </w:tc>
      </w:tr>
      <w:tr>
        <w:tc>
          <w:tcPr>
            <w:tcW w:type="dxa" w:w="2880"/>
          </w:tcPr>
          <w:p>
            <w:r>
              <w:rPr>
                <w:sz w:val="19"/>
              </w:rPr>
              <w:t>Too many false positives</w:t>
            </w:r>
          </w:p>
        </w:tc>
        <w:tc>
          <w:tcPr>
            <w:tcW w:type="dxa" w:w="2880"/>
          </w:tcPr>
          <w:p>
            <w:r>
              <w:rPr>
                <w:sz w:val="19"/>
              </w:rPr>
              <w:t>Logic too broad; no conditions</w:t>
            </w:r>
          </w:p>
        </w:tc>
        <w:tc>
          <w:tcPr>
            <w:tcW w:type="dxa" w:w="2880"/>
          </w:tcPr>
          <w:p>
            <w:r>
              <w:rPr>
                <w:sz w:val="19"/>
              </w:rPr>
              <w:t>Add condition filters; use path-based analysis; exclude known-good access.</w:t>
            </w:r>
          </w:p>
        </w:tc>
      </w:tr>
      <w:tr>
        <w:tc>
          <w:tcPr>
            <w:tcW w:type="dxa" w:w="2880"/>
          </w:tcPr>
          <w:p>
            <w:r>
              <w:rPr>
                <w:sz w:val="19"/>
              </w:rPr>
              <w:t>Incident not clearing after fix</w:t>
            </w:r>
          </w:p>
        </w:tc>
        <w:tc>
          <w:tcPr>
            <w:tcW w:type="dxa" w:w="2880"/>
          </w:tcPr>
          <w:p>
            <w:r>
              <w:rPr>
                <w:sz w:val="19"/>
              </w:rPr>
              <w:t>Sync/control not re-run</w:t>
            </w:r>
          </w:p>
        </w:tc>
        <w:tc>
          <w:tcPr>
            <w:tcW w:type="dxa" w:w="2880"/>
          </w:tcPr>
          <w:p>
            <w:r>
              <w:rPr>
                <w:sz w:val="19"/>
              </w:rPr>
              <w:t>Re-run synchronization; confirm access actually removed; status moves to Closed.</w:t>
            </w:r>
          </w:p>
        </w:tc>
      </w:tr>
      <w:tr>
        <w:tc>
          <w:tcPr>
            <w:tcW w:type="dxa" w:w="2880"/>
          </w:tcPr>
          <w:p>
            <w:r>
              <w:rPr>
                <w:sz w:val="19"/>
              </w:rPr>
              <w:t>Legit admin flagged repeatedly</w:t>
            </w:r>
          </w:p>
        </w:tc>
        <w:tc>
          <w:tcPr>
            <w:tcW w:type="dxa" w:w="2880"/>
          </w:tcPr>
          <w:p>
            <w:r>
              <w:rPr>
                <w:sz w:val="19"/>
              </w:rPr>
              <w:t>No exclusion condition</w:t>
            </w:r>
          </w:p>
        </w:tc>
        <w:tc>
          <w:tcPr>
            <w:tcW w:type="dxa" w:w="2880"/>
          </w:tcPr>
          <w:p>
            <w:r>
              <w:rPr>
                <w:sz w:val="19"/>
              </w:rPr>
              <w:t>Add a global condition/exclusion with documented justification (mitigating control).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