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95" w:lineRule="auto" w:before="93"/>
        <w:ind w:left="7852" w:right="111" w:hanging="435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612000</wp:posOffset>
                </wp:positionH>
                <wp:positionV relativeFrom="paragraph">
                  <wp:posOffset>55872</wp:posOffset>
                </wp:positionV>
                <wp:extent cx="3014980" cy="34099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014980" cy="340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3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1A3456"/>
                                <w:sz w:val="48"/>
                              </w:rPr>
                              <w:t>RAJEEV </w:t>
                            </w:r>
                            <w:r>
                              <w:rPr>
                                <w:b/>
                                <w:color w:val="1A3456"/>
                                <w:spacing w:val="-2"/>
                                <w:sz w:val="48"/>
                              </w:rPr>
                              <w:t>UPADHYAY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8.18898pt;margin-top:4.399437pt;width:237.4pt;height:26.85pt;mso-position-horizontal-relative:page;mso-position-vertical-relative:paragraph;z-index:15731200" type="#_x0000_t202" id="docshape1" filled="false" stroked="false">
                <v:textbox inset="0,0,0,0">
                  <w:txbxContent>
                    <w:p>
                      <w:pPr>
                        <w:spacing w:line="536" w:lineRule="exact" w:before="0"/>
                        <w:ind w:left="0" w:right="0" w:firstLine="0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color w:val="1A3456"/>
                          <w:sz w:val="48"/>
                        </w:rPr>
                        <w:t>RAJEEV </w:t>
                      </w:r>
                      <w:r>
                        <w:rPr>
                          <w:b/>
                          <w:color w:val="1A3456"/>
                          <w:spacing w:val="-2"/>
                          <w:sz w:val="48"/>
                        </w:rPr>
                        <w:t>UPADHYAY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hyperlink r:id="rId5">
        <w:r>
          <w:rPr>
            <w:color w:val="2462EB"/>
          </w:rPr>
          <w:t>rajeev.upadhyay@protonmail.com</w:t>
        </w:r>
      </w:hyperlink>
      <w:r>
        <w:rPr>
          <w:color w:val="2462EB"/>
          <w:spacing w:val="-12"/>
        </w:rPr>
        <w:t> </w:t>
      </w:r>
      <w:r>
        <w:rPr>
          <w:color w:val="64748A"/>
        </w:rPr>
        <w:t>| </w:t>
      </w:r>
      <w:hyperlink r:id="rId6">
        <w:r>
          <w:rPr>
            <w:color w:val="2462EB"/>
            <w:spacing w:val="-2"/>
          </w:rPr>
          <w:t>linkedin.com/in/rajeevrockstar</w:t>
        </w:r>
      </w:hyperlink>
    </w:p>
    <w:p>
      <w:pPr>
        <w:tabs>
          <w:tab w:pos="5895" w:val="left" w:leader="none"/>
        </w:tabs>
        <w:spacing w:line="284" w:lineRule="exact" w:before="79"/>
        <w:ind w:left="113" w:right="0" w:firstLine="0"/>
        <w:jc w:val="left"/>
        <w:rPr>
          <w:position w:val="13"/>
          <w:sz w:val="17"/>
        </w:rPr>
      </w:pPr>
      <w:r>
        <w:rPr>
          <w:color w:val="64748A"/>
          <w:sz w:val="18"/>
        </w:rPr>
        <w:t>Cloud &amp; Infrastructure Engineer | 9+ Years </w:t>
      </w:r>
      <w:r>
        <w:rPr>
          <w:color w:val="64748A"/>
          <w:spacing w:val="-2"/>
          <w:sz w:val="18"/>
        </w:rPr>
        <w:t>Experience</w:t>
      </w:r>
      <w:r>
        <w:rPr>
          <w:color w:val="64748A"/>
          <w:sz w:val="18"/>
        </w:rPr>
        <w:tab/>
      </w:r>
      <w:r>
        <w:rPr>
          <w:color w:val="64748A"/>
          <w:position w:val="13"/>
          <w:sz w:val="17"/>
        </w:rPr>
        <w:t>(+91) 9044602200 | (+1) 9292664560 | Lucknow, India </w:t>
      </w:r>
      <w:r>
        <w:rPr>
          <w:color w:val="64748A"/>
          <w:spacing w:val="-10"/>
          <w:position w:val="13"/>
          <w:sz w:val="17"/>
        </w:rPr>
        <w:t>|</w:t>
      </w:r>
    </w:p>
    <w:p>
      <w:pPr>
        <w:pStyle w:val="BodyText"/>
        <w:spacing w:line="152" w:lineRule="exact" w:before="0"/>
        <w:ind w:left="0" w:right="111" w:firstLine="0"/>
        <w:jc w:val="right"/>
      </w:pPr>
      <w:hyperlink r:id="rId7">
        <w:r>
          <w:rPr>
            <w:color w:val="2462EB"/>
            <w:spacing w:val="-2"/>
          </w:rPr>
          <w:t>rajeevupadhyay.com</w:t>
        </w:r>
      </w:hyperlink>
    </w:p>
    <w:p>
      <w:pPr>
        <w:pStyle w:val="BodyText"/>
        <w:spacing w:before="0"/>
        <w:ind w:left="0" w:firstLine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616200</wp:posOffset>
                </wp:positionH>
                <wp:positionV relativeFrom="paragraph">
                  <wp:posOffset>110583</wp:posOffset>
                </wp:positionV>
                <wp:extent cx="632777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0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1A345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691pt;margin-top:8.707372pt;width:498.25pt;height:.1pt;mso-position-horizontal-relative:page;mso-position-vertical-relative:paragraph;z-index:-15728640;mso-wrap-distance-left:0;mso-wrap-distance-right:0" id="docshape2" coordorigin="970,174" coordsize="9965,0" path="m970,174l10935,174e" filled="false" stroked="true" strokeweight="2pt" strokecolor="#1a345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12"/>
      </w:pPr>
      <w:r>
        <w:rPr>
          <w:color w:val="1A3456"/>
        </w:rPr>
        <w:t>PROFESSIONAL </w:t>
      </w:r>
      <w:r>
        <w:rPr>
          <w:color w:val="1A3456"/>
          <w:spacing w:val="-2"/>
        </w:rPr>
        <w:t>SUMMARY</w:t>
      </w:r>
    </w:p>
    <w:p>
      <w:pPr>
        <w:pStyle w:val="BodyText"/>
        <w:spacing w:before="6"/>
        <w:ind w:left="0" w:firstLin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616200</wp:posOffset>
                </wp:positionH>
                <wp:positionV relativeFrom="paragraph">
                  <wp:posOffset>55892</wp:posOffset>
                </wp:positionV>
                <wp:extent cx="632777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0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691pt;margin-top:4.400977pt;width:498.25pt;height:.1pt;mso-position-horizontal-relative:page;mso-position-vertical-relative:paragraph;z-index:-15728128;mso-wrap-distance-left:0;mso-wrap-distance-right:0" id="docshape3" coordorigin="970,88" coordsize="9965,0" path="m970,88l10935,88e" filled="false" stroked="true" strokeweight=".5pt" strokecolor="#2462e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19" w:lineRule="auto" w:before="85"/>
        <w:ind w:left="120" w:right="70" w:firstLine="0"/>
        <w:jc w:val="left"/>
        <w:rPr>
          <w:sz w:val="17"/>
        </w:rPr>
      </w:pPr>
      <w:r>
        <w:rPr>
          <w:color w:val="1D283B"/>
          <w:sz w:val="17"/>
        </w:rPr>
        <w:t>Cloud &amp; Infrastructure Engineer with </w:t>
      </w:r>
      <w:r>
        <w:rPr>
          <w:b/>
          <w:color w:val="1D283B"/>
          <w:sz w:val="17"/>
        </w:rPr>
        <w:t>9+ years </w:t>
      </w:r>
      <w:r>
        <w:rPr>
          <w:color w:val="1D283B"/>
          <w:sz w:val="17"/>
        </w:rPr>
        <w:t>of experience across enterprise IT operations, cloud infrastructure, and managed services delivery. Proven track record in </w:t>
      </w:r>
      <w:r>
        <w:rPr>
          <w:b/>
          <w:color w:val="1D283B"/>
          <w:sz w:val="17"/>
        </w:rPr>
        <w:t>24×7 operational environments </w:t>
      </w:r>
      <w:r>
        <w:rPr>
          <w:color w:val="1D283B"/>
          <w:sz w:val="17"/>
        </w:rPr>
        <w:t>— monitoring, incident triage, and runbook-driven response</w:t>
      </w:r>
      <w:r>
        <w:rPr>
          <w:color w:val="1D283B"/>
          <w:spacing w:val="-1"/>
          <w:sz w:val="17"/>
        </w:rPr>
        <w:t> </w:t>
      </w:r>
      <w:r>
        <w:rPr>
          <w:color w:val="1D283B"/>
          <w:sz w:val="17"/>
        </w:rPr>
        <w:t>—</w:t>
      </w:r>
      <w:r>
        <w:rPr>
          <w:color w:val="1D283B"/>
          <w:spacing w:val="-1"/>
          <w:sz w:val="17"/>
        </w:rPr>
        <w:t> </w:t>
      </w:r>
      <w:r>
        <w:rPr>
          <w:color w:val="1D283B"/>
          <w:sz w:val="17"/>
        </w:rPr>
        <w:t>with</w:t>
      </w:r>
      <w:r>
        <w:rPr>
          <w:color w:val="1D283B"/>
          <w:spacing w:val="-1"/>
          <w:sz w:val="17"/>
        </w:rPr>
        <w:t> </w:t>
      </w:r>
      <w:r>
        <w:rPr>
          <w:color w:val="1D283B"/>
          <w:sz w:val="17"/>
        </w:rPr>
        <w:t>hands-on</w:t>
      </w:r>
      <w:r>
        <w:rPr>
          <w:color w:val="1D283B"/>
          <w:spacing w:val="-1"/>
          <w:sz w:val="17"/>
        </w:rPr>
        <w:t> </w:t>
      </w:r>
      <w:r>
        <w:rPr>
          <w:color w:val="1D283B"/>
          <w:sz w:val="17"/>
        </w:rPr>
        <w:t>expertise</w:t>
      </w:r>
      <w:r>
        <w:rPr>
          <w:color w:val="1D283B"/>
          <w:spacing w:val="-1"/>
          <w:sz w:val="17"/>
        </w:rPr>
        <w:t> </w:t>
      </w:r>
      <w:r>
        <w:rPr>
          <w:color w:val="1D283B"/>
          <w:sz w:val="17"/>
        </w:rPr>
        <w:t>in</w:t>
      </w:r>
      <w:r>
        <w:rPr>
          <w:color w:val="1D283B"/>
          <w:spacing w:val="-1"/>
          <w:sz w:val="17"/>
        </w:rPr>
        <w:t> </w:t>
      </w:r>
      <w:r>
        <w:rPr>
          <w:b/>
          <w:color w:val="1D283B"/>
          <w:sz w:val="17"/>
        </w:rPr>
        <w:t>Azure</w:t>
      </w:r>
      <w:r>
        <w:rPr>
          <w:b/>
          <w:color w:val="1D283B"/>
          <w:spacing w:val="-1"/>
          <w:sz w:val="17"/>
        </w:rPr>
        <w:t> </w:t>
      </w:r>
      <w:r>
        <w:rPr>
          <w:b/>
          <w:color w:val="1D283B"/>
          <w:sz w:val="17"/>
        </w:rPr>
        <w:t>IaaS,</w:t>
      </w:r>
      <w:r>
        <w:rPr>
          <w:b/>
          <w:color w:val="1D283B"/>
          <w:spacing w:val="-1"/>
          <w:sz w:val="17"/>
        </w:rPr>
        <w:t> </w:t>
      </w:r>
      <w:r>
        <w:rPr>
          <w:b/>
          <w:color w:val="1D283B"/>
          <w:sz w:val="17"/>
        </w:rPr>
        <w:t>Citrix</w:t>
      </w:r>
      <w:r>
        <w:rPr>
          <w:b/>
          <w:color w:val="1D283B"/>
          <w:spacing w:val="-1"/>
          <w:sz w:val="17"/>
        </w:rPr>
        <w:t> </w:t>
      </w:r>
      <w:r>
        <w:rPr>
          <w:b/>
          <w:color w:val="1D283B"/>
          <w:sz w:val="17"/>
        </w:rPr>
        <w:t>XenApp/XenDesktop,</w:t>
      </w:r>
      <w:r>
        <w:rPr>
          <w:b/>
          <w:color w:val="1D283B"/>
          <w:spacing w:val="-1"/>
          <w:sz w:val="17"/>
        </w:rPr>
        <w:t> </w:t>
      </w:r>
      <w:r>
        <w:rPr>
          <w:b/>
          <w:color w:val="1D283B"/>
          <w:sz w:val="17"/>
        </w:rPr>
        <w:t>PowerShell/Python</w:t>
      </w:r>
      <w:r>
        <w:rPr>
          <w:b/>
          <w:color w:val="1D283B"/>
          <w:spacing w:val="-1"/>
          <w:sz w:val="17"/>
        </w:rPr>
        <w:t> </w:t>
      </w:r>
      <w:r>
        <w:rPr>
          <w:b/>
          <w:color w:val="1D283B"/>
          <w:sz w:val="17"/>
        </w:rPr>
        <w:t>scripting</w:t>
      </w:r>
      <w:r>
        <w:rPr>
          <w:color w:val="1D283B"/>
          <w:sz w:val="17"/>
        </w:rPr>
        <w:t>,</w:t>
      </w:r>
      <w:r>
        <w:rPr>
          <w:color w:val="1D283B"/>
          <w:spacing w:val="-1"/>
          <w:sz w:val="17"/>
        </w:rPr>
        <w:t> </w:t>
      </w:r>
      <w:r>
        <w:rPr>
          <w:color w:val="1D283B"/>
          <w:sz w:val="17"/>
        </w:rPr>
        <w:t>and</w:t>
      </w:r>
      <w:r>
        <w:rPr>
          <w:color w:val="1D283B"/>
          <w:spacing w:val="-1"/>
          <w:sz w:val="17"/>
        </w:rPr>
        <w:t> </w:t>
      </w:r>
      <w:r>
        <w:rPr>
          <w:color w:val="1D283B"/>
          <w:sz w:val="17"/>
        </w:rPr>
        <w:t>ITSM</w:t>
      </w:r>
      <w:r>
        <w:rPr>
          <w:color w:val="1D283B"/>
          <w:spacing w:val="-1"/>
          <w:sz w:val="17"/>
        </w:rPr>
        <w:t> </w:t>
      </w:r>
      <w:r>
        <w:rPr>
          <w:color w:val="1D283B"/>
          <w:sz w:val="17"/>
        </w:rPr>
        <w:t>tooling (ServiceNow). Currently operating </w:t>
      </w:r>
      <w:r>
        <w:rPr>
          <w:b/>
          <w:color w:val="1D283B"/>
          <w:sz w:val="17"/>
        </w:rPr>
        <w:t>Softcorp Group LLC </w:t>
      </w:r>
      <w:r>
        <w:rPr>
          <w:color w:val="1D283B"/>
          <w:sz w:val="17"/>
        </w:rPr>
        <w:t>delivering cloud and infrastructure solutions to clients across Nepal, India, and the USA. Formerly at </w:t>
      </w:r>
      <w:r>
        <w:rPr>
          <w:b/>
          <w:color w:val="1D283B"/>
          <w:sz w:val="17"/>
        </w:rPr>
        <w:t>Tata Consultancy Services (TCS)</w:t>
      </w:r>
      <w:r>
        <w:rPr>
          <w:color w:val="1D283B"/>
          <w:sz w:val="17"/>
        </w:rPr>
        <w:t>, managing 3,500+ servers and 5,000+ users in a mission-critical enterprise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environment.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Known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for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driving</w:t>
      </w:r>
      <w:r>
        <w:rPr>
          <w:color w:val="1D283B"/>
          <w:spacing w:val="-2"/>
          <w:sz w:val="17"/>
        </w:rPr>
        <w:t> </w:t>
      </w:r>
      <w:r>
        <w:rPr>
          <w:b/>
          <w:color w:val="1D283B"/>
          <w:sz w:val="17"/>
        </w:rPr>
        <w:t>98.5%+</w:t>
      </w:r>
      <w:r>
        <w:rPr>
          <w:b/>
          <w:color w:val="1D283B"/>
          <w:spacing w:val="-2"/>
          <w:sz w:val="17"/>
        </w:rPr>
        <w:t> </w:t>
      </w:r>
      <w:r>
        <w:rPr>
          <w:b/>
          <w:color w:val="1D283B"/>
          <w:sz w:val="17"/>
        </w:rPr>
        <w:t>patch</w:t>
      </w:r>
      <w:r>
        <w:rPr>
          <w:b/>
          <w:color w:val="1D283B"/>
          <w:spacing w:val="-2"/>
          <w:sz w:val="17"/>
        </w:rPr>
        <w:t> </w:t>
      </w:r>
      <w:r>
        <w:rPr>
          <w:b/>
          <w:color w:val="1D283B"/>
          <w:sz w:val="17"/>
        </w:rPr>
        <w:t>compliance</w:t>
      </w:r>
      <w:r>
        <w:rPr>
          <w:color w:val="1D283B"/>
          <w:sz w:val="17"/>
        </w:rPr>
        <w:t>,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reducing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P1/P2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MTTR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by</w:t>
      </w:r>
      <w:r>
        <w:rPr>
          <w:color w:val="1D283B"/>
          <w:spacing w:val="-2"/>
          <w:sz w:val="17"/>
        </w:rPr>
        <w:t> </w:t>
      </w:r>
      <w:r>
        <w:rPr>
          <w:b/>
          <w:color w:val="1D283B"/>
          <w:sz w:val="17"/>
        </w:rPr>
        <w:t>35%</w:t>
      </w:r>
      <w:r>
        <w:rPr>
          <w:color w:val="1D283B"/>
          <w:sz w:val="17"/>
        </w:rPr>
        <w:t>,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and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automating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10+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hours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of manual work weekly.</w:t>
      </w:r>
    </w:p>
    <w:p>
      <w:pPr>
        <w:pStyle w:val="Heading1"/>
      </w:pPr>
      <w:r>
        <w:rPr>
          <w:color w:val="1A3456"/>
        </w:rPr>
        <w:t>CORE SKILLS &amp; TECHNICAL </w:t>
      </w:r>
      <w:r>
        <w:rPr>
          <w:color w:val="1A3456"/>
          <w:spacing w:val="-2"/>
        </w:rPr>
        <w:t>EXPERTISE</w:t>
      </w:r>
    </w:p>
    <w:p>
      <w:pPr>
        <w:pStyle w:val="BodyText"/>
        <w:spacing w:before="6"/>
        <w:ind w:left="0" w:firstLin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616200</wp:posOffset>
                </wp:positionH>
                <wp:positionV relativeFrom="paragraph">
                  <wp:posOffset>55923</wp:posOffset>
                </wp:positionV>
                <wp:extent cx="63277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0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691pt;margin-top:4.403455pt;width:498.25pt;height:.1pt;mso-position-horizontal-relative:page;mso-position-vertical-relative:paragraph;z-index:-15727616;mso-wrap-distance-left:0;mso-wrap-distance-right:0" id="docshape4" coordorigin="970,88" coordsize="9965,0" path="m970,88l10935,88e" filled="false" stroked="true" strokeweight=".5pt" strokecolor="#2462e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ind w:left="0" w:firstLine="0"/>
        <w:rPr>
          <w:b/>
          <w:sz w:val="6"/>
        </w:rPr>
      </w:pPr>
    </w:p>
    <w:tbl>
      <w:tblPr>
        <w:tblW w:w="0" w:type="auto"/>
        <w:jc w:val="left"/>
        <w:tblInd w:w="120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7823"/>
      </w:tblGrid>
      <w:tr>
        <w:trPr>
          <w:trHeight w:val="550" w:hRule="atLeast"/>
        </w:trPr>
        <w:tc>
          <w:tcPr>
            <w:tcW w:w="2154" w:type="dxa"/>
            <w:shd w:val="clear" w:color="auto" w:fill="EFF4F7"/>
          </w:tcPr>
          <w:p>
            <w:pPr>
              <w:pStyle w:val="TableParagraph"/>
              <w:spacing w:before="175"/>
              <w:rPr>
                <w:b/>
                <w:sz w:val="16"/>
              </w:rPr>
            </w:pPr>
            <w:r>
              <w:rPr>
                <w:b/>
                <w:color w:val="1A3456"/>
                <w:sz w:val="16"/>
              </w:rPr>
              <w:t>Cloud </w:t>
            </w:r>
            <w:r>
              <w:rPr>
                <w:b/>
                <w:color w:val="1A3456"/>
                <w:spacing w:val="-2"/>
                <w:sz w:val="16"/>
              </w:rPr>
              <w:t>(Azure)</w:t>
            </w:r>
          </w:p>
        </w:tc>
        <w:tc>
          <w:tcPr>
            <w:tcW w:w="7823" w:type="dxa"/>
          </w:tcPr>
          <w:p>
            <w:pPr>
              <w:pStyle w:val="TableParagraph"/>
              <w:spacing w:line="288" w:lineRule="auto"/>
              <w:ind w:left="98" w:right="25"/>
              <w:rPr>
                <w:sz w:val="16"/>
              </w:rPr>
            </w:pPr>
            <w:r>
              <w:rPr>
                <w:color w:val="1D283B"/>
                <w:sz w:val="16"/>
              </w:rPr>
              <w:t>Azure</w:t>
            </w:r>
            <w:r>
              <w:rPr>
                <w:color w:val="1D283B"/>
                <w:spacing w:val="-3"/>
                <w:sz w:val="16"/>
              </w:rPr>
              <w:t> </w:t>
            </w:r>
            <w:r>
              <w:rPr>
                <w:color w:val="1D283B"/>
                <w:sz w:val="16"/>
              </w:rPr>
              <w:t>IaaS</w:t>
            </w:r>
            <w:r>
              <w:rPr>
                <w:color w:val="1D283B"/>
                <w:spacing w:val="-3"/>
                <w:sz w:val="16"/>
              </w:rPr>
              <w:t> </w:t>
            </w:r>
            <w:r>
              <w:rPr>
                <w:color w:val="1D283B"/>
                <w:sz w:val="16"/>
              </w:rPr>
              <w:t>(VM,</w:t>
            </w:r>
            <w:r>
              <w:rPr>
                <w:color w:val="1D283B"/>
                <w:spacing w:val="-3"/>
                <w:sz w:val="16"/>
              </w:rPr>
              <w:t> </w:t>
            </w:r>
            <w:r>
              <w:rPr>
                <w:color w:val="1D283B"/>
                <w:sz w:val="16"/>
              </w:rPr>
              <w:t>VNet,</w:t>
            </w:r>
            <w:r>
              <w:rPr>
                <w:color w:val="1D283B"/>
                <w:spacing w:val="-3"/>
                <w:sz w:val="16"/>
              </w:rPr>
              <w:t> </w:t>
            </w:r>
            <w:r>
              <w:rPr>
                <w:color w:val="1D283B"/>
                <w:sz w:val="16"/>
              </w:rPr>
              <w:t>NSG,</w:t>
            </w:r>
            <w:r>
              <w:rPr>
                <w:color w:val="1D283B"/>
                <w:spacing w:val="-3"/>
                <w:sz w:val="16"/>
              </w:rPr>
              <w:t> </w:t>
            </w:r>
            <w:r>
              <w:rPr>
                <w:color w:val="1D283B"/>
                <w:sz w:val="16"/>
              </w:rPr>
              <w:t>Storage),</w:t>
            </w:r>
            <w:r>
              <w:rPr>
                <w:color w:val="1D283B"/>
                <w:spacing w:val="-3"/>
                <w:sz w:val="16"/>
              </w:rPr>
              <w:t> </w:t>
            </w:r>
            <w:r>
              <w:rPr>
                <w:color w:val="1D283B"/>
                <w:sz w:val="16"/>
              </w:rPr>
              <w:t>Azure</w:t>
            </w:r>
            <w:r>
              <w:rPr>
                <w:color w:val="1D283B"/>
                <w:spacing w:val="-3"/>
                <w:sz w:val="16"/>
              </w:rPr>
              <w:t> </w:t>
            </w:r>
            <w:r>
              <w:rPr>
                <w:color w:val="1D283B"/>
                <w:sz w:val="16"/>
              </w:rPr>
              <w:t>Monitor,</w:t>
            </w:r>
            <w:r>
              <w:rPr>
                <w:color w:val="1D283B"/>
                <w:spacing w:val="-3"/>
                <w:sz w:val="16"/>
              </w:rPr>
              <w:t> </w:t>
            </w:r>
            <w:r>
              <w:rPr>
                <w:color w:val="1D283B"/>
                <w:sz w:val="16"/>
              </w:rPr>
              <w:t>Log</w:t>
            </w:r>
            <w:r>
              <w:rPr>
                <w:color w:val="1D283B"/>
                <w:spacing w:val="-3"/>
                <w:sz w:val="16"/>
              </w:rPr>
              <w:t> </w:t>
            </w:r>
            <w:r>
              <w:rPr>
                <w:color w:val="1D283B"/>
                <w:sz w:val="16"/>
              </w:rPr>
              <w:t>Analytics</w:t>
            </w:r>
            <w:r>
              <w:rPr>
                <w:color w:val="1D283B"/>
                <w:spacing w:val="-3"/>
                <w:sz w:val="16"/>
              </w:rPr>
              <w:t> </w:t>
            </w:r>
            <w:r>
              <w:rPr>
                <w:color w:val="1D283B"/>
                <w:sz w:val="16"/>
              </w:rPr>
              <w:t>(KQL),</w:t>
            </w:r>
            <w:r>
              <w:rPr>
                <w:color w:val="1D283B"/>
                <w:spacing w:val="-3"/>
                <w:sz w:val="16"/>
              </w:rPr>
              <w:t> </w:t>
            </w:r>
            <w:r>
              <w:rPr>
                <w:color w:val="1D283B"/>
                <w:sz w:val="16"/>
              </w:rPr>
              <w:t>Azure</w:t>
            </w:r>
            <w:r>
              <w:rPr>
                <w:color w:val="1D283B"/>
                <w:spacing w:val="-3"/>
                <w:sz w:val="16"/>
              </w:rPr>
              <w:t> </w:t>
            </w:r>
            <w:r>
              <w:rPr>
                <w:color w:val="1D283B"/>
                <w:sz w:val="16"/>
              </w:rPr>
              <w:t>AD,</w:t>
            </w:r>
            <w:r>
              <w:rPr>
                <w:color w:val="1D283B"/>
                <w:spacing w:val="-3"/>
                <w:sz w:val="16"/>
              </w:rPr>
              <w:t> </w:t>
            </w:r>
            <w:r>
              <w:rPr>
                <w:color w:val="1D283B"/>
                <w:sz w:val="16"/>
              </w:rPr>
              <w:t>Conditional</w:t>
            </w:r>
            <w:r>
              <w:rPr>
                <w:color w:val="1D283B"/>
                <w:spacing w:val="-3"/>
                <w:sz w:val="16"/>
              </w:rPr>
              <w:t> </w:t>
            </w:r>
            <w:r>
              <w:rPr>
                <w:color w:val="1D283B"/>
                <w:sz w:val="16"/>
              </w:rPr>
              <w:t>Access, MFA, ARM Templates</w:t>
            </w:r>
          </w:p>
        </w:tc>
      </w:tr>
      <w:tr>
        <w:trPr>
          <w:trHeight w:val="550" w:hRule="atLeast"/>
        </w:trPr>
        <w:tc>
          <w:tcPr>
            <w:tcW w:w="2154" w:type="dxa"/>
            <w:shd w:val="clear" w:color="auto" w:fill="EFF4F7"/>
          </w:tcPr>
          <w:p>
            <w:pPr>
              <w:pStyle w:val="TableParagraph"/>
              <w:spacing w:before="175"/>
              <w:rPr>
                <w:b/>
                <w:sz w:val="16"/>
              </w:rPr>
            </w:pPr>
            <w:r>
              <w:rPr>
                <w:b/>
                <w:color w:val="1A3456"/>
                <w:sz w:val="16"/>
              </w:rPr>
              <w:t>Citrix / </w:t>
            </w:r>
            <w:r>
              <w:rPr>
                <w:b/>
                <w:color w:val="1A3456"/>
                <w:spacing w:val="-5"/>
                <w:sz w:val="16"/>
              </w:rPr>
              <w:t>VDI</w:t>
            </w:r>
          </w:p>
        </w:tc>
        <w:tc>
          <w:tcPr>
            <w:tcW w:w="7823" w:type="dxa"/>
            <w:shd w:val="clear" w:color="auto" w:fill="EFF4F7"/>
          </w:tcPr>
          <w:p>
            <w:pPr>
              <w:pStyle w:val="TableParagraph"/>
              <w:spacing w:line="288" w:lineRule="auto"/>
              <w:ind w:left="98" w:right="25"/>
              <w:rPr>
                <w:sz w:val="16"/>
              </w:rPr>
            </w:pPr>
            <w:r>
              <w:rPr>
                <w:color w:val="1D283B"/>
                <w:sz w:val="16"/>
              </w:rPr>
              <w:t>XenApp/XenDesktop</w:t>
            </w:r>
            <w:r>
              <w:rPr>
                <w:color w:val="1D283B"/>
                <w:spacing w:val="-5"/>
                <w:sz w:val="16"/>
              </w:rPr>
              <w:t> </w:t>
            </w:r>
            <w:r>
              <w:rPr>
                <w:color w:val="1D283B"/>
                <w:sz w:val="16"/>
              </w:rPr>
              <w:t>7.x</w:t>
            </w:r>
            <w:r>
              <w:rPr>
                <w:color w:val="1D283B"/>
                <w:spacing w:val="-5"/>
                <w:sz w:val="16"/>
              </w:rPr>
              <w:t> </w:t>
            </w:r>
            <w:r>
              <w:rPr>
                <w:color w:val="1D283B"/>
                <w:sz w:val="16"/>
              </w:rPr>
              <w:t>(CVAD),</w:t>
            </w:r>
            <w:r>
              <w:rPr>
                <w:color w:val="1D283B"/>
                <w:spacing w:val="-5"/>
                <w:sz w:val="16"/>
              </w:rPr>
              <w:t> </w:t>
            </w:r>
            <w:r>
              <w:rPr>
                <w:color w:val="1D283B"/>
                <w:sz w:val="16"/>
              </w:rPr>
              <w:t>StoreFront,</w:t>
            </w:r>
            <w:r>
              <w:rPr>
                <w:color w:val="1D283B"/>
                <w:spacing w:val="-5"/>
                <w:sz w:val="16"/>
              </w:rPr>
              <w:t> </w:t>
            </w:r>
            <w:r>
              <w:rPr>
                <w:color w:val="1D283B"/>
                <w:sz w:val="16"/>
              </w:rPr>
              <w:t>Profile</w:t>
            </w:r>
            <w:r>
              <w:rPr>
                <w:color w:val="1D283B"/>
                <w:spacing w:val="-5"/>
                <w:sz w:val="16"/>
              </w:rPr>
              <w:t> </w:t>
            </w:r>
            <w:r>
              <w:rPr>
                <w:color w:val="1D283B"/>
                <w:sz w:val="16"/>
              </w:rPr>
              <w:t>Management,</w:t>
            </w:r>
            <w:r>
              <w:rPr>
                <w:color w:val="1D283B"/>
                <w:spacing w:val="-5"/>
                <w:sz w:val="16"/>
              </w:rPr>
              <w:t> </w:t>
            </w:r>
            <w:r>
              <w:rPr>
                <w:color w:val="1D283B"/>
                <w:sz w:val="16"/>
              </w:rPr>
              <w:t>VDA</w:t>
            </w:r>
            <w:r>
              <w:rPr>
                <w:color w:val="1D283B"/>
                <w:spacing w:val="-5"/>
                <w:sz w:val="16"/>
              </w:rPr>
              <w:t> </w:t>
            </w:r>
            <w:r>
              <w:rPr>
                <w:color w:val="1D283B"/>
                <w:sz w:val="16"/>
              </w:rPr>
              <w:t>lifecycle,</w:t>
            </w:r>
            <w:r>
              <w:rPr>
                <w:color w:val="1D283B"/>
                <w:spacing w:val="-5"/>
                <w:sz w:val="16"/>
              </w:rPr>
              <w:t> </w:t>
            </w:r>
            <w:r>
              <w:rPr>
                <w:color w:val="1D283B"/>
                <w:sz w:val="16"/>
              </w:rPr>
              <w:t>session</w:t>
            </w:r>
            <w:r>
              <w:rPr>
                <w:color w:val="1D283B"/>
                <w:spacing w:val="-5"/>
                <w:sz w:val="16"/>
              </w:rPr>
              <w:t> </w:t>
            </w:r>
            <w:r>
              <w:rPr>
                <w:color w:val="1D283B"/>
                <w:sz w:val="16"/>
              </w:rPr>
              <w:t>management, Citrix Director</w:t>
            </w:r>
          </w:p>
        </w:tc>
      </w:tr>
      <w:tr>
        <w:trPr>
          <w:trHeight w:val="330" w:hRule="atLeast"/>
        </w:trPr>
        <w:tc>
          <w:tcPr>
            <w:tcW w:w="2154" w:type="dxa"/>
            <w:shd w:val="clear" w:color="auto" w:fill="EFF4F7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A3456"/>
                <w:sz w:val="16"/>
              </w:rPr>
              <w:t>Scripting &amp; </w:t>
            </w:r>
            <w:r>
              <w:rPr>
                <w:b/>
                <w:color w:val="1A3456"/>
                <w:spacing w:val="-2"/>
                <w:sz w:val="16"/>
              </w:rPr>
              <w:t>Automation</w:t>
            </w:r>
          </w:p>
        </w:tc>
        <w:tc>
          <w:tcPr>
            <w:tcW w:w="7823" w:type="dxa"/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color w:val="1D283B"/>
                <w:sz w:val="16"/>
              </w:rPr>
              <w:t>PowerShell, Python, Bash — log parsing, alert triage, runbook authoring, bulk </w:t>
            </w:r>
            <w:r>
              <w:rPr>
                <w:color w:val="1D283B"/>
                <w:spacing w:val="-2"/>
                <w:sz w:val="16"/>
              </w:rPr>
              <w:t>automation</w:t>
            </w:r>
          </w:p>
        </w:tc>
      </w:tr>
      <w:tr>
        <w:trPr>
          <w:trHeight w:val="330" w:hRule="atLeast"/>
        </w:trPr>
        <w:tc>
          <w:tcPr>
            <w:tcW w:w="2154" w:type="dxa"/>
            <w:shd w:val="clear" w:color="auto" w:fill="EFF4F7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A3456"/>
                <w:spacing w:val="-2"/>
                <w:sz w:val="16"/>
              </w:rPr>
              <w:t>Monitoring</w:t>
            </w:r>
          </w:p>
        </w:tc>
        <w:tc>
          <w:tcPr>
            <w:tcW w:w="7823" w:type="dxa"/>
            <w:shd w:val="clear" w:color="auto" w:fill="EFF4F7"/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color w:val="1D283B"/>
                <w:sz w:val="16"/>
              </w:rPr>
              <w:t>SolarWinds (NPM/SAM/NTA), Azure Monitor, PerfMon, Windows Event </w:t>
            </w:r>
            <w:r>
              <w:rPr>
                <w:color w:val="1D283B"/>
                <w:spacing w:val="-2"/>
                <w:sz w:val="16"/>
              </w:rPr>
              <w:t>Forwarding</w:t>
            </w:r>
          </w:p>
        </w:tc>
      </w:tr>
      <w:tr>
        <w:trPr>
          <w:trHeight w:val="330" w:hRule="atLeast"/>
        </w:trPr>
        <w:tc>
          <w:tcPr>
            <w:tcW w:w="2154" w:type="dxa"/>
            <w:shd w:val="clear" w:color="auto" w:fill="EFF4F7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A3456"/>
                <w:sz w:val="16"/>
              </w:rPr>
              <w:t>ITSM &amp; </w:t>
            </w:r>
            <w:r>
              <w:rPr>
                <w:b/>
                <w:color w:val="1A3456"/>
                <w:spacing w:val="-2"/>
                <w:sz w:val="16"/>
              </w:rPr>
              <w:t>Alerting</w:t>
            </w:r>
          </w:p>
        </w:tc>
        <w:tc>
          <w:tcPr>
            <w:tcW w:w="7823" w:type="dxa"/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color w:val="1D283B"/>
                <w:sz w:val="16"/>
              </w:rPr>
              <w:t>ServiceNow (Incident, Change, Problem), JIRA; PagerDuty-style alert </w:t>
            </w:r>
            <w:r>
              <w:rPr>
                <w:color w:val="1D283B"/>
                <w:spacing w:val="-2"/>
                <w:sz w:val="16"/>
              </w:rPr>
              <w:t>workflows</w:t>
            </w:r>
          </w:p>
        </w:tc>
      </w:tr>
      <w:tr>
        <w:trPr>
          <w:trHeight w:val="330" w:hRule="atLeast"/>
        </w:trPr>
        <w:tc>
          <w:tcPr>
            <w:tcW w:w="2154" w:type="dxa"/>
            <w:shd w:val="clear" w:color="auto" w:fill="EFF4F7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A3456"/>
                <w:sz w:val="16"/>
              </w:rPr>
              <w:t>Endpoint &amp; </w:t>
            </w:r>
            <w:r>
              <w:rPr>
                <w:b/>
                <w:color w:val="1A3456"/>
                <w:spacing w:val="-2"/>
                <w:sz w:val="16"/>
              </w:rPr>
              <w:t>Patch</w:t>
            </w:r>
          </w:p>
        </w:tc>
        <w:tc>
          <w:tcPr>
            <w:tcW w:w="7823" w:type="dxa"/>
            <w:shd w:val="clear" w:color="auto" w:fill="EFF4F7"/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color w:val="1D283B"/>
                <w:sz w:val="16"/>
              </w:rPr>
              <w:t>SCCM, WSUS, Microsoft Intune </w:t>
            </w:r>
            <w:r>
              <w:rPr>
                <w:color w:val="1D283B"/>
                <w:spacing w:val="-2"/>
                <w:sz w:val="16"/>
              </w:rPr>
              <w:t>(MDM/MAM)</w:t>
            </w:r>
          </w:p>
        </w:tc>
      </w:tr>
      <w:tr>
        <w:trPr>
          <w:trHeight w:val="330" w:hRule="atLeast"/>
        </w:trPr>
        <w:tc>
          <w:tcPr>
            <w:tcW w:w="2154" w:type="dxa"/>
            <w:shd w:val="clear" w:color="auto" w:fill="EFF4F7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A3456"/>
                <w:spacing w:val="-2"/>
                <w:sz w:val="16"/>
              </w:rPr>
              <w:t>Virtualization</w:t>
            </w:r>
          </w:p>
        </w:tc>
        <w:tc>
          <w:tcPr>
            <w:tcW w:w="7823" w:type="dxa"/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color w:val="1D283B"/>
                <w:sz w:val="16"/>
              </w:rPr>
              <w:t>VMware vSphere (ESXi/vCenter), Hyper-</w:t>
            </w:r>
            <w:r>
              <w:rPr>
                <w:color w:val="1D283B"/>
                <w:spacing w:val="-10"/>
                <w:sz w:val="16"/>
              </w:rPr>
              <w:t>V</w:t>
            </w:r>
          </w:p>
        </w:tc>
      </w:tr>
      <w:tr>
        <w:trPr>
          <w:trHeight w:val="330" w:hRule="atLeast"/>
        </w:trPr>
        <w:tc>
          <w:tcPr>
            <w:tcW w:w="2154" w:type="dxa"/>
            <w:shd w:val="clear" w:color="auto" w:fill="EFF4F7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A3456"/>
                <w:sz w:val="16"/>
              </w:rPr>
              <w:t>OS &amp; </w:t>
            </w:r>
            <w:r>
              <w:rPr>
                <w:b/>
                <w:color w:val="1A3456"/>
                <w:spacing w:val="-2"/>
                <w:sz w:val="16"/>
              </w:rPr>
              <w:t>Networking</w:t>
            </w:r>
          </w:p>
        </w:tc>
        <w:tc>
          <w:tcPr>
            <w:tcW w:w="7823" w:type="dxa"/>
            <w:shd w:val="clear" w:color="auto" w:fill="EFF4F7"/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color w:val="1D283B"/>
                <w:sz w:val="16"/>
              </w:rPr>
              <w:t>Windows Server 2022/2019/2016/2012 R2, Linux (RHEL/CentOS), DNS, DHCP, </w:t>
            </w:r>
            <w:r>
              <w:rPr>
                <w:color w:val="1D283B"/>
                <w:spacing w:val="-2"/>
                <w:sz w:val="16"/>
              </w:rPr>
              <w:t>TCP/IP</w:t>
            </w:r>
          </w:p>
        </w:tc>
      </w:tr>
      <w:tr>
        <w:trPr>
          <w:trHeight w:val="330" w:hRule="atLeast"/>
        </w:trPr>
        <w:tc>
          <w:tcPr>
            <w:tcW w:w="2154" w:type="dxa"/>
            <w:shd w:val="clear" w:color="auto" w:fill="EFF4F7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A3456"/>
                <w:spacing w:val="-2"/>
                <w:sz w:val="16"/>
              </w:rPr>
              <w:t>Security</w:t>
            </w:r>
          </w:p>
        </w:tc>
        <w:tc>
          <w:tcPr>
            <w:tcW w:w="7823" w:type="dxa"/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color w:val="1D283B"/>
                <w:sz w:val="16"/>
              </w:rPr>
              <w:t>CIS Benchmarks, Microsoft Defender for Endpoint, Zero Trust, Vulnerability </w:t>
            </w:r>
            <w:r>
              <w:rPr>
                <w:color w:val="1D283B"/>
                <w:spacing w:val="-2"/>
                <w:sz w:val="16"/>
              </w:rPr>
              <w:t>Management</w:t>
            </w:r>
          </w:p>
        </w:tc>
      </w:tr>
      <w:tr>
        <w:trPr>
          <w:trHeight w:val="330" w:hRule="atLeast"/>
        </w:trPr>
        <w:tc>
          <w:tcPr>
            <w:tcW w:w="2154" w:type="dxa"/>
            <w:shd w:val="clear" w:color="auto" w:fill="EFF4F7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A3456"/>
                <w:spacing w:val="-2"/>
                <w:sz w:val="16"/>
              </w:rPr>
              <w:t>Identity</w:t>
            </w:r>
          </w:p>
        </w:tc>
        <w:tc>
          <w:tcPr>
            <w:tcW w:w="7823" w:type="dxa"/>
            <w:shd w:val="clear" w:color="auto" w:fill="EFF4F7"/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color w:val="1D283B"/>
                <w:sz w:val="16"/>
              </w:rPr>
              <w:t>Active Directory (AD DS), GPO, ADFS, Azure AD Connect (hybrid </w:t>
            </w:r>
            <w:r>
              <w:rPr>
                <w:color w:val="1D283B"/>
                <w:spacing w:val="-2"/>
                <w:sz w:val="16"/>
              </w:rPr>
              <w:t>sync)</w:t>
            </w:r>
          </w:p>
        </w:tc>
      </w:tr>
    </w:tbl>
    <w:p>
      <w:pPr>
        <w:pStyle w:val="Heading1"/>
        <w:spacing w:before="105"/>
      </w:pPr>
      <w:r>
        <w:rPr>
          <w:color w:val="1A3456"/>
        </w:rPr>
        <w:t>PROFESSIONAL </w:t>
      </w:r>
      <w:r>
        <w:rPr>
          <w:color w:val="1A3456"/>
          <w:spacing w:val="-2"/>
        </w:rPr>
        <w:t>EXPERIENCE</w:t>
      </w:r>
    </w:p>
    <w:p>
      <w:pPr>
        <w:pStyle w:val="BodyText"/>
        <w:spacing w:before="6"/>
        <w:ind w:left="0" w:firstLin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616200</wp:posOffset>
                </wp:positionH>
                <wp:positionV relativeFrom="paragraph">
                  <wp:posOffset>55892</wp:posOffset>
                </wp:positionV>
                <wp:extent cx="632777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0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691pt;margin-top:4.400977pt;width:498.25pt;height:.1pt;mso-position-horizontal-relative:page;mso-position-vertical-relative:paragraph;z-index:-15727104;mso-wrap-distance-left:0;mso-wrap-distance-right:0" id="docshape5" coordorigin="970,88" coordsize="9965,0" path="m970,88l10935,88e" filled="false" stroked="true" strokeweight=".5pt" strokecolor="#2462e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617" w:val="left" w:leader="none"/>
        </w:tabs>
        <w:spacing w:before="107"/>
        <w:ind w:left="113" w:right="0" w:firstLine="0"/>
        <w:jc w:val="left"/>
        <w:rPr>
          <w:position w:val="2"/>
          <w:sz w:val="17"/>
        </w:rPr>
      </w:pPr>
      <w:r>
        <w:rPr>
          <w:b/>
          <w:color w:val="1A3456"/>
          <w:sz w:val="20"/>
        </w:rPr>
        <w:t>Softcorp Group </w:t>
      </w:r>
      <w:r>
        <w:rPr>
          <w:b/>
          <w:color w:val="1A3456"/>
          <w:spacing w:val="-5"/>
          <w:sz w:val="20"/>
        </w:rPr>
        <w:t>LLC</w:t>
      </w:r>
      <w:r>
        <w:rPr>
          <w:b/>
          <w:color w:val="1A3456"/>
          <w:sz w:val="20"/>
        </w:rPr>
        <w:tab/>
      </w:r>
      <w:r>
        <w:rPr>
          <w:color w:val="64748A"/>
          <w:position w:val="2"/>
          <w:sz w:val="17"/>
        </w:rPr>
        <w:t>Jan 2023 – </w:t>
      </w:r>
      <w:r>
        <w:rPr>
          <w:color w:val="64748A"/>
          <w:spacing w:val="-2"/>
          <w:position w:val="2"/>
          <w:sz w:val="17"/>
        </w:rPr>
        <w:t>Present</w:t>
      </w:r>
    </w:p>
    <w:p>
      <w:pPr>
        <w:tabs>
          <w:tab w:pos="7833" w:val="left" w:leader="none"/>
        </w:tabs>
        <w:spacing w:before="69"/>
        <w:ind w:left="113" w:right="0" w:firstLine="0"/>
        <w:jc w:val="left"/>
        <w:rPr>
          <w:i/>
          <w:sz w:val="17"/>
        </w:rPr>
      </w:pPr>
      <w:r>
        <w:rPr>
          <w:b/>
          <w:color w:val="1D283B"/>
          <w:sz w:val="18"/>
        </w:rPr>
        <w:t>Founder &amp; Independent IT </w:t>
      </w:r>
      <w:r>
        <w:rPr>
          <w:b/>
          <w:color w:val="1D283B"/>
          <w:spacing w:val="-2"/>
          <w:sz w:val="18"/>
        </w:rPr>
        <w:t>Consultant</w:t>
      </w:r>
      <w:r>
        <w:rPr>
          <w:b/>
          <w:color w:val="1D283B"/>
          <w:sz w:val="18"/>
        </w:rPr>
        <w:tab/>
      </w:r>
      <w:r>
        <w:rPr>
          <w:i/>
          <w:color w:val="64748A"/>
          <w:sz w:val="17"/>
        </w:rPr>
        <w:t>Remote / USA-registered </w:t>
      </w:r>
      <w:r>
        <w:rPr>
          <w:i/>
          <w:color w:val="64748A"/>
          <w:spacing w:val="-5"/>
          <w:sz w:val="17"/>
        </w:rPr>
        <w:t>LLC</w:t>
      </w:r>
    </w:p>
    <w:p>
      <w:pPr>
        <w:pStyle w:val="BodyText"/>
        <w:spacing w:before="9"/>
        <w:ind w:left="0" w:firstLine="0"/>
        <w:rPr>
          <w:i/>
          <w:sz w:val="3"/>
        </w:rPr>
      </w:pPr>
      <w:r>
        <w:rPr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616200</wp:posOffset>
                </wp:positionH>
                <wp:positionV relativeFrom="paragraph">
                  <wp:posOffset>43203</wp:posOffset>
                </wp:positionV>
                <wp:extent cx="632777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0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691pt;margin-top:3.401855pt;width:498.25pt;height:.1pt;mso-position-horizontal-relative:page;mso-position-vertical-relative:paragraph;z-index:-15726592;mso-wrap-distance-left:0;mso-wrap-distance-right:0" id="docshape6" coordorigin="970,68" coordsize="9965,0" path="m970,68l10935,68e" filled="false" stroked="true" strokeweight=".3pt" strokecolor="#cad4e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68"/>
      </w:pPr>
      <w:r>
        <w:rPr>
          <w:color w:val="1A3456"/>
        </w:rPr>
        <w:t>Cloud Operations &amp; Azure </w:t>
      </w:r>
      <w:r>
        <w:rPr>
          <w:color w:val="1A3456"/>
          <w:spacing w:val="-2"/>
        </w:rPr>
        <w:t>Infrastructure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40" w:val="left" w:leader="none"/>
        </w:tabs>
        <w:spacing w:line="295" w:lineRule="auto" w:before="72" w:after="0"/>
        <w:ind w:left="440" w:right="452" w:hanging="160"/>
        <w:jc w:val="left"/>
        <w:rPr>
          <w:sz w:val="17"/>
        </w:rPr>
      </w:pPr>
      <w:r>
        <w:rPr>
          <w:color w:val="1D283B"/>
          <w:sz w:val="17"/>
        </w:rPr>
        <w:t>Architected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and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deployed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Azure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IaaS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environments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—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VMs,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VNets,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NSGs,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Storage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Accounts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via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ARM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templates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and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Azure PowerShell — reducing manual provisioning time by </w:t>
      </w:r>
      <w:r>
        <w:rPr>
          <w:b/>
          <w:color w:val="1D283B"/>
          <w:sz w:val="17"/>
        </w:rPr>
        <w:t>60%</w:t>
      </w:r>
      <w:r>
        <w:rPr>
          <w:color w:val="1D283B"/>
          <w:sz w:val="17"/>
        </w:rPr>
        <w:t>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  <w:tab w:pos="440" w:val="left" w:leader="none"/>
        </w:tabs>
        <w:spacing w:line="295" w:lineRule="auto" w:before="39" w:after="0"/>
        <w:ind w:left="440" w:right="118" w:hanging="160"/>
        <w:jc w:val="left"/>
        <w:rPr>
          <w:sz w:val="17"/>
        </w:rPr>
      </w:pPr>
      <w:r>
        <w:rPr>
          <w:color w:val="1D283B"/>
          <w:sz w:val="17"/>
        </w:rPr>
        <w:t>Configured</w:t>
      </w:r>
      <w:r>
        <w:rPr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Azure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Monitor</w:t>
      </w:r>
      <w:r>
        <w:rPr>
          <w:b/>
          <w:color w:val="1D283B"/>
          <w:spacing w:val="-3"/>
          <w:sz w:val="17"/>
        </w:rPr>
        <w:t> </w:t>
      </w:r>
      <w:r>
        <w:rPr>
          <w:color w:val="1D283B"/>
          <w:sz w:val="17"/>
        </w:rPr>
        <w:t>and</w:t>
      </w:r>
      <w:r>
        <w:rPr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Log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Analytics</w:t>
      </w:r>
      <w:r>
        <w:rPr>
          <w:b/>
          <w:color w:val="1D283B"/>
          <w:spacing w:val="-3"/>
          <w:sz w:val="17"/>
        </w:rPr>
        <w:t> </w:t>
      </w:r>
      <w:r>
        <w:rPr>
          <w:color w:val="1D283B"/>
          <w:sz w:val="17"/>
        </w:rPr>
        <w:t>workspaces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with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custom</w:t>
      </w:r>
      <w:r>
        <w:rPr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KQL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queries</w:t>
      </w:r>
      <w:r>
        <w:rPr>
          <w:b/>
          <w:color w:val="1D283B"/>
          <w:spacing w:val="-3"/>
          <w:sz w:val="17"/>
        </w:rPr>
        <w:t> </w:t>
      </w:r>
      <w:r>
        <w:rPr>
          <w:color w:val="1D283B"/>
          <w:sz w:val="17"/>
        </w:rPr>
        <w:t>for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performance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and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security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dashboards; centralized alerting across client subscriptions — directly analogous to NOC eyes-on-glass monitoring.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40" w:val="left" w:leader="none"/>
        </w:tabs>
        <w:spacing w:line="295" w:lineRule="auto" w:before="39" w:after="0"/>
        <w:ind w:left="440" w:right="335" w:hanging="160"/>
        <w:jc w:val="left"/>
        <w:rPr>
          <w:sz w:val="17"/>
        </w:rPr>
      </w:pPr>
      <w:r>
        <w:rPr>
          <w:color w:val="1D283B"/>
          <w:sz w:val="17"/>
        </w:rPr>
        <w:t>Authored</w:t>
      </w:r>
      <w:r>
        <w:rPr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Azure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Automation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Runbooks</w:t>
      </w:r>
      <w:r>
        <w:rPr>
          <w:b/>
          <w:color w:val="1D283B"/>
          <w:spacing w:val="-3"/>
          <w:sz w:val="17"/>
        </w:rPr>
        <w:t> </w:t>
      </w:r>
      <w:r>
        <w:rPr>
          <w:color w:val="1D283B"/>
          <w:sz w:val="17"/>
        </w:rPr>
        <w:t>(PowerShell)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for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scheduled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VM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start/stop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—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reducing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client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compute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costs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by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~30% monthly; demonstrates proactive, runbook-driven operational discipline.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40" w:val="left" w:leader="none"/>
        </w:tabs>
        <w:spacing w:line="295" w:lineRule="auto" w:before="40" w:after="0"/>
        <w:ind w:left="440" w:right="905" w:hanging="160"/>
        <w:jc w:val="left"/>
        <w:rPr>
          <w:sz w:val="17"/>
        </w:rPr>
      </w:pPr>
      <w:r>
        <w:rPr>
          <w:color w:val="1D283B"/>
          <w:sz w:val="17"/>
        </w:rPr>
        <w:t>Managed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Azure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tenants: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user/group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lifecycle,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Conditional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Access,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MFA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enforcement,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and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Azure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Connect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sync troubleshooting for hybrid environments.</w:t>
      </w:r>
    </w:p>
    <w:p>
      <w:pPr>
        <w:pStyle w:val="Heading2"/>
        <w:spacing w:before="39"/>
      </w:pPr>
      <w:r>
        <w:rPr>
          <w:color w:val="1A3456"/>
        </w:rPr>
        <w:t>Citrix &amp; VDI </w:t>
      </w:r>
      <w:r>
        <w:rPr>
          <w:color w:val="1A3456"/>
          <w:spacing w:val="-2"/>
        </w:rPr>
        <w:t>Administration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40" w:val="left" w:leader="none"/>
        </w:tabs>
        <w:spacing w:line="295" w:lineRule="auto" w:before="73" w:after="0"/>
        <w:ind w:left="440" w:right="537" w:hanging="160"/>
        <w:jc w:val="left"/>
        <w:rPr>
          <w:sz w:val="17"/>
        </w:rPr>
      </w:pPr>
      <w:r>
        <w:rPr>
          <w:color w:val="1D283B"/>
          <w:sz w:val="17"/>
        </w:rPr>
        <w:t>Delivered</w:t>
      </w:r>
      <w:r>
        <w:rPr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Citrix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XenApp/XenDesktop</w:t>
      </w:r>
      <w:r>
        <w:rPr>
          <w:b/>
          <w:color w:val="1D283B"/>
          <w:spacing w:val="-3"/>
          <w:sz w:val="17"/>
        </w:rPr>
        <w:t> </w:t>
      </w:r>
      <w:r>
        <w:rPr>
          <w:color w:val="1D283B"/>
          <w:sz w:val="17"/>
        </w:rPr>
        <w:t>administration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and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performance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tuning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—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improving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session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reliability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and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reducing logon times in virtual desktop environments.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40" w:val="left" w:leader="none"/>
        </w:tabs>
        <w:spacing w:line="295" w:lineRule="auto" w:before="39" w:after="0"/>
        <w:ind w:left="440" w:right="338" w:hanging="160"/>
        <w:jc w:val="left"/>
        <w:rPr>
          <w:sz w:val="17"/>
        </w:rPr>
      </w:pPr>
      <w:r>
        <w:rPr>
          <w:color w:val="1D283B"/>
          <w:sz w:val="17"/>
        </w:rPr>
        <w:t>Performed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VDA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lifecycle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management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and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profile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management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optimization,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aligning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with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Citrix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DaaS/CVAD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operational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best </w:t>
      </w:r>
      <w:r>
        <w:rPr>
          <w:color w:val="1D283B"/>
          <w:spacing w:val="-2"/>
          <w:sz w:val="17"/>
        </w:rPr>
        <w:t>practices.</w:t>
      </w:r>
    </w:p>
    <w:p>
      <w:pPr>
        <w:pStyle w:val="Heading2"/>
      </w:pPr>
      <w:r>
        <w:rPr>
          <w:color w:val="1A3456"/>
        </w:rPr>
        <w:t>Scripting, Automation &amp; Runbook </w:t>
      </w:r>
      <w:r>
        <w:rPr>
          <w:color w:val="1A3456"/>
          <w:spacing w:val="-2"/>
        </w:rPr>
        <w:t>Discipline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40" w:val="left" w:leader="none"/>
        </w:tabs>
        <w:spacing w:line="295" w:lineRule="auto" w:before="72" w:after="0"/>
        <w:ind w:left="440" w:right="187" w:hanging="160"/>
        <w:jc w:val="left"/>
        <w:rPr>
          <w:sz w:val="17"/>
        </w:rPr>
      </w:pPr>
      <w:r>
        <w:rPr>
          <w:color w:val="1D283B"/>
          <w:sz w:val="17"/>
        </w:rPr>
        <w:t>Built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PowerShell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frameworks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integrating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Azure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and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on-prem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—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automating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user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provisioning,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license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assignment,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group membership, and notifications.</w:t>
      </w:r>
    </w:p>
    <w:p>
      <w:pPr>
        <w:pStyle w:val="ListParagraph"/>
        <w:numPr>
          <w:ilvl w:val="0"/>
          <w:numId w:val="1"/>
        </w:numPr>
        <w:tabs>
          <w:tab w:pos="429" w:val="left" w:leader="none"/>
          <w:tab w:pos="440" w:val="left" w:leader="none"/>
        </w:tabs>
        <w:spacing w:line="295" w:lineRule="auto" w:before="39" w:after="0"/>
        <w:ind w:left="440" w:right="117" w:hanging="160"/>
        <w:jc w:val="left"/>
        <w:rPr>
          <w:sz w:val="17"/>
        </w:rPr>
      </w:pPr>
      <w:r>
        <w:rPr>
          <w:color w:val="1D283B"/>
          <w:sz w:val="17"/>
        </w:rPr>
        <w:t>Developed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Python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scripts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to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parse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Windows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Event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Logs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and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SolarWinds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API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data,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auto-generating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HTML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compliance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reports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on </w:t>
      </w:r>
      <w:r>
        <w:rPr>
          <w:color w:val="1D283B"/>
          <w:spacing w:val="-2"/>
          <w:sz w:val="17"/>
        </w:rPr>
        <w:t>schedule.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40" w:val="left" w:leader="none"/>
        </w:tabs>
        <w:spacing w:line="295" w:lineRule="auto" w:before="39" w:after="0"/>
        <w:ind w:left="440" w:right="641" w:hanging="160"/>
        <w:jc w:val="left"/>
        <w:rPr>
          <w:sz w:val="17"/>
        </w:rPr>
      </w:pPr>
      <w:r>
        <w:rPr>
          <w:color w:val="1D283B"/>
          <w:sz w:val="17"/>
        </w:rPr>
        <w:t>Created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reusable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Bash/PowerShell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scripts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for</w:t>
      </w:r>
      <w:r>
        <w:rPr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CIS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Benchmark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hardening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checks</w:t>
      </w:r>
      <w:r>
        <w:rPr>
          <w:b/>
          <w:color w:val="1D283B"/>
          <w:spacing w:val="-3"/>
          <w:sz w:val="17"/>
        </w:rPr>
        <w:t> </w:t>
      </w:r>
      <w:r>
        <w:rPr>
          <w:color w:val="1D283B"/>
          <w:sz w:val="17"/>
        </w:rPr>
        <w:t>across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Windows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Server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2019/2022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— outputting pass/fail scorecards per control.</w:t>
      </w:r>
    </w:p>
    <w:p>
      <w:pPr>
        <w:spacing w:line="288" w:lineRule="auto" w:before="39"/>
        <w:ind w:left="320" w:right="0" w:firstLine="0"/>
        <w:jc w:val="left"/>
        <w:rPr>
          <w:i/>
          <w:sz w:val="16"/>
        </w:rPr>
      </w:pPr>
      <w:r>
        <w:rPr>
          <w:i/>
          <w:color w:val="64748A"/>
          <w:sz w:val="16"/>
        </w:rPr>
        <w:t>Key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Technologies: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Azure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IaaS,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Azure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Monitor,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Log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Analytics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(KQL),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Azure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AD,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ARM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Templates,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PowerShell,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Python,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Bash,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Citrix</w:t>
      </w:r>
      <w:r>
        <w:rPr>
          <w:i/>
          <w:color w:val="64748A"/>
          <w:sz w:val="16"/>
        </w:rPr>
        <w:t> XenApp/XenDesktop, M365, SCCM, VMware, Oracle Cloud Infrastructure</w:t>
      </w:r>
    </w:p>
    <w:p>
      <w:pPr>
        <w:spacing w:after="0" w:line="288" w:lineRule="auto"/>
        <w:jc w:val="left"/>
        <w:rPr>
          <w:i/>
          <w:sz w:val="16"/>
        </w:rPr>
        <w:sectPr>
          <w:type w:val="continuous"/>
          <w:pgSz w:w="11910" w:h="16840"/>
          <w:pgMar w:top="760" w:bottom="280" w:left="850" w:right="850"/>
        </w:sectPr>
      </w:pPr>
    </w:p>
    <w:p>
      <w:pPr>
        <w:tabs>
          <w:tab w:pos="8503" w:val="left" w:leader="none"/>
        </w:tabs>
        <w:spacing w:before="75"/>
        <w:ind w:left="113" w:right="0" w:firstLine="0"/>
        <w:jc w:val="left"/>
        <w:rPr>
          <w:position w:val="2"/>
          <w:sz w:val="17"/>
        </w:rPr>
      </w:pPr>
      <w:r>
        <w:rPr>
          <w:b/>
          <w:color w:val="1A3456"/>
          <w:sz w:val="20"/>
        </w:rPr>
        <w:t>Tata Consultancy Services </w:t>
      </w:r>
      <w:r>
        <w:rPr>
          <w:b/>
          <w:color w:val="1A3456"/>
          <w:spacing w:val="-2"/>
          <w:sz w:val="20"/>
        </w:rPr>
        <w:t>(TCS)</w:t>
      </w:r>
      <w:r>
        <w:rPr>
          <w:b/>
          <w:color w:val="1A3456"/>
          <w:sz w:val="20"/>
        </w:rPr>
        <w:tab/>
      </w:r>
      <w:r>
        <w:rPr>
          <w:color w:val="64748A"/>
          <w:position w:val="2"/>
          <w:sz w:val="17"/>
        </w:rPr>
        <w:t>Jun</w:t>
      </w:r>
      <w:r>
        <w:rPr>
          <w:color w:val="64748A"/>
          <w:spacing w:val="-2"/>
          <w:position w:val="2"/>
          <w:sz w:val="17"/>
        </w:rPr>
        <w:t> </w:t>
      </w:r>
      <w:r>
        <w:rPr>
          <w:color w:val="64748A"/>
          <w:position w:val="2"/>
          <w:sz w:val="17"/>
        </w:rPr>
        <w:t>2015 – Jun </w:t>
      </w:r>
      <w:r>
        <w:rPr>
          <w:color w:val="64748A"/>
          <w:spacing w:val="-4"/>
          <w:position w:val="2"/>
          <w:sz w:val="17"/>
        </w:rPr>
        <w:t>2021</w:t>
      </w:r>
    </w:p>
    <w:p>
      <w:pPr>
        <w:tabs>
          <w:tab w:pos="8854" w:val="left" w:leader="none"/>
        </w:tabs>
        <w:spacing w:before="68"/>
        <w:ind w:left="113" w:right="0" w:firstLine="0"/>
        <w:jc w:val="left"/>
        <w:rPr>
          <w:i/>
          <w:sz w:val="17"/>
        </w:rPr>
      </w:pPr>
      <w:r>
        <w:rPr>
          <w:b/>
          <w:color w:val="1D283B"/>
          <w:sz w:val="18"/>
        </w:rPr>
        <w:t>Systems </w:t>
      </w:r>
      <w:r>
        <w:rPr>
          <w:b/>
          <w:color w:val="1D283B"/>
          <w:spacing w:val="-2"/>
          <w:sz w:val="18"/>
        </w:rPr>
        <w:t>Engineer</w:t>
      </w:r>
      <w:r>
        <w:rPr>
          <w:b/>
          <w:color w:val="1D283B"/>
          <w:sz w:val="18"/>
        </w:rPr>
        <w:tab/>
      </w:r>
      <w:r>
        <w:rPr>
          <w:i/>
          <w:color w:val="64748A"/>
          <w:sz w:val="17"/>
        </w:rPr>
        <w:t>New Delhi, </w:t>
      </w:r>
      <w:r>
        <w:rPr>
          <w:i/>
          <w:color w:val="64748A"/>
          <w:spacing w:val="-2"/>
          <w:sz w:val="17"/>
        </w:rPr>
        <w:t>India</w:t>
      </w:r>
    </w:p>
    <w:p>
      <w:pPr>
        <w:pStyle w:val="BodyText"/>
        <w:spacing w:before="10"/>
        <w:ind w:left="0" w:firstLine="0"/>
        <w:rPr>
          <w:i/>
          <w:sz w:val="3"/>
        </w:rPr>
      </w:pPr>
      <w:r>
        <w:rPr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616200</wp:posOffset>
                </wp:positionH>
                <wp:positionV relativeFrom="paragraph">
                  <wp:posOffset>43533</wp:posOffset>
                </wp:positionV>
                <wp:extent cx="632777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0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691pt;margin-top:3.427855pt;width:498.25pt;height:.1pt;mso-position-horizontal-relative:page;mso-position-vertical-relative:paragraph;z-index:-15725568;mso-wrap-distance-left:0;mso-wrap-distance-right:0" id="docshape7" coordorigin="970,69" coordsize="9965,0" path="m970,69l10935,69e" filled="false" stroked="true" strokeweight=".3pt" strokecolor="#cad4e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68"/>
      </w:pPr>
      <w:r>
        <w:rPr>
          <w:color w:val="1A3456"/>
        </w:rPr>
        <w:t>Monitoring, Incident Response &amp; SLA </w:t>
      </w:r>
      <w:r>
        <w:rPr>
          <w:color w:val="1A3456"/>
          <w:spacing w:val="-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40" w:val="left" w:leader="none"/>
        </w:tabs>
        <w:spacing w:line="295" w:lineRule="auto" w:before="72" w:after="0"/>
        <w:ind w:left="440" w:right="991" w:hanging="160"/>
        <w:jc w:val="left"/>
        <w:rPr>
          <w:sz w:val="17"/>
        </w:rPr>
      </w:pPr>
      <w:r>
        <w:rPr>
          <w:color w:val="1D283B"/>
          <w:sz w:val="17"/>
        </w:rPr>
        <w:t>Operated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in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</w:t>
      </w:r>
      <w:r>
        <w:rPr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NOC-style,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24×7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enterprise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environment</w:t>
      </w:r>
      <w:r>
        <w:rPr>
          <w:b/>
          <w:color w:val="1D283B"/>
          <w:spacing w:val="-3"/>
          <w:sz w:val="17"/>
        </w:rPr>
        <w:t> </w:t>
      </w:r>
      <w:r>
        <w:rPr>
          <w:color w:val="1D283B"/>
          <w:sz w:val="17"/>
        </w:rPr>
        <w:t>supporting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3,500+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servers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and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workstations;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followed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strict runbook/SOP-driven incident response procedures.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  <w:tab w:pos="440" w:val="left" w:leader="none"/>
        </w:tabs>
        <w:spacing w:line="295" w:lineRule="auto" w:before="39" w:after="0"/>
        <w:ind w:left="440" w:right="117" w:hanging="160"/>
        <w:jc w:val="left"/>
        <w:rPr>
          <w:sz w:val="17"/>
        </w:rPr>
      </w:pPr>
      <w:r>
        <w:rPr>
          <w:color w:val="1D283B"/>
          <w:sz w:val="17"/>
        </w:rPr>
        <w:t>Configured</w:t>
      </w:r>
      <w:r>
        <w:rPr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SolarWinds</w:t>
      </w:r>
      <w:r>
        <w:rPr>
          <w:b/>
          <w:color w:val="1D283B"/>
          <w:spacing w:val="-3"/>
          <w:sz w:val="17"/>
        </w:rPr>
        <w:t> </w:t>
      </w:r>
      <w:r>
        <w:rPr>
          <w:color w:val="1D283B"/>
          <w:sz w:val="17"/>
        </w:rPr>
        <w:t>dashboards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and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custom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threshold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alerts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for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proactive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infrastructure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monitoring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—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reduced</w:t>
      </w:r>
      <w:r>
        <w:rPr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P1/P2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MTTR by 35%</w:t>
      </w:r>
      <w:r>
        <w:rPr>
          <w:color w:val="1D283B"/>
          <w:sz w:val="17"/>
        </w:rPr>
        <w:t>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39" w:after="0"/>
        <w:ind w:left="433" w:right="0" w:hanging="153"/>
        <w:jc w:val="left"/>
        <w:rPr>
          <w:sz w:val="17"/>
        </w:rPr>
      </w:pPr>
      <w:r>
        <w:rPr>
          <w:color w:val="1D283B"/>
          <w:sz w:val="17"/>
        </w:rPr>
        <w:t>Authored and maintained </w:t>
      </w:r>
      <w:r>
        <w:rPr>
          <w:b/>
          <w:color w:val="1D283B"/>
          <w:sz w:val="17"/>
        </w:rPr>
        <w:t>30+ SOPs and technical runbooks</w:t>
      </w:r>
      <w:r>
        <w:rPr>
          <w:color w:val="1D283B"/>
          <w:sz w:val="17"/>
        </w:rPr>
        <w:t>, directly improving L1/L2 first-call resolution </w:t>
      </w:r>
      <w:r>
        <w:rPr>
          <w:color w:val="1D283B"/>
          <w:spacing w:val="-2"/>
          <w:sz w:val="17"/>
        </w:rPr>
        <w:t>rates.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40" w:val="left" w:leader="none"/>
        </w:tabs>
        <w:spacing w:line="295" w:lineRule="auto" w:before="85" w:after="0"/>
        <w:ind w:left="440" w:right="1038" w:hanging="160"/>
        <w:jc w:val="left"/>
        <w:rPr>
          <w:sz w:val="17"/>
        </w:rPr>
      </w:pPr>
      <w:r>
        <w:rPr>
          <w:color w:val="1D283B"/>
          <w:sz w:val="17"/>
        </w:rPr>
        <w:t>Maintained</w:t>
      </w:r>
      <w:r>
        <w:rPr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100%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ITIL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compliance</w:t>
      </w:r>
      <w:r>
        <w:rPr>
          <w:b/>
          <w:color w:val="1D283B"/>
          <w:spacing w:val="-3"/>
          <w:sz w:val="17"/>
        </w:rPr>
        <w:t> </w:t>
      </w:r>
      <w:r>
        <w:rPr>
          <w:color w:val="1D283B"/>
          <w:sz w:val="17"/>
        </w:rPr>
        <w:t>in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ServiceNow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for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change,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incident,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and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problem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management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—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shift-</w:t>
      </w:r>
      <w:r>
        <w:rPr>
          <w:color w:val="1D283B"/>
          <w:sz w:val="17"/>
        </w:rPr>
        <w:t>handover documentation upheld rigorously.</w:t>
      </w:r>
    </w:p>
    <w:p>
      <w:pPr>
        <w:pStyle w:val="Heading2"/>
      </w:pPr>
      <w:r>
        <w:rPr>
          <w:color w:val="1A3456"/>
        </w:rPr>
        <w:t>Azure &amp; Cloud </w:t>
      </w:r>
      <w:r>
        <w:rPr>
          <w:color w:val="1A3456"/>
          <w:spacing w:val="-2"/>
        </w:rPr>
        <w:t>Operations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40" w:val="left" w:leader="none"/>
        </w:tabs>
        <w:spacing w:line="295" w:lineRule="auto" w:before="72" w:after="0"/>
        <w:ind w:left="440" w:right="588" w:hanging="160"/>
        <w:jc w:val="left"/>
        <w:rPr>
          <w:sz w:val="17"/>
        </w:rPr>
      </w:pPr>
      <w:r>
        <w:rPr>
          <w:color w:val="1D283B"/>
          <w:sz w:val="17"/>
        </w:rPr>
        <w:t>Led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migration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of</w:t>
      </w:r>
      <w:r>
        <w:rPr>
          <w:color w:val="1D283B"/>
          <w:spacing w:val="-2"/>
          <w:sz w:val="17"/>
        </w:rPr>
        <w:t> </w:t>
      </w:r>
      <w:r>
        <w:rPr>
          <w:b/>
          <w:color w:val="1D283B"/>
          <w:sz w:val="17"/>
        </w:rPr>
        <w:t>1,500+</w:t>
      </w:r>
      <w:r>
        <w:rPr>
          <w:b/>
          <w:color w:val="1D283B"/>
          <w:spacing w:val="-2"/>
          <w:sz w:val="17"/>
        </w:rPr>
        <w:t> </w:t>
      </w:r>
      <w:r>
        <w:rPr>
          <w:b/>
          <w:color w:val="1D283B"/>
          <w:sz w:val="17"/>
        </w:rPr>
        <w:t>user</w:t>
      </w:r>
      <w:r>
        <w:rPr>
          <w:b/>
          <w:color w:val="1D283B"/>
          <w:spacing w:val="-2"/>
          <w:sz w:val="17"/>
        </w:rPr>
        <w:t> </w:t>
      </w:r>
      <w:r>
        <w:rPr>
          <w:b/>
          <w:color w:val="1D283B"/>
          <w:sz w:val="17"/>
        </w:rPr>
        <w:t>mailboxes</w:t>
      </w:r>
      <w:r>
        <w:rPr>
          <w:b/>
          <w:color w:val="1D283B"/>
          <w:spacing w:val="-2"/>
          <w:sz w:val="17"/>
        </w:rPr>
        <w:t> </w:t>
      </w:r>
      <w:r>
        <w:rPr>
          <w:color w:val="1D283B"/>
          <w:sz w:val="17"/>
        </w:rPr>
        <w:t>from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on-premises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Exchange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to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Microsoft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365;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configured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Azure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AD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Connect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and enforced MFA — reducing password-reset requests by 40%.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40" w:val="left" w:leader="none"/>
        </w:tabs>
        <w:spacing w:line="295" w:lineRule="auto" w:before="39" w:after="0"/>
        <w:ind w:left="440" w:right="669" w:hanging="160"/>
        <w:jc w:val="left"/>
        <w:rPr>
          <w:sz w:val="17"/>
        </w:rPr>
      </w:pPr>
      <w:r>
        <w:rPr>
          <w:color w:val="1D283B"/>
          <w:sz w:val="17"/>
        </w:rPr>
        <w:t>Implemented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and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managed</w:t>
      </w:r>
      <w:r>
        <w:rPr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Conditional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Access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policies</w:t>
      </w:r>
      <w:r>
        <w:rPr>
          <w:b/>
          <w:color w:val="1D283B"/>
          <w:spacing w:val="-3"/>
          <w:sz w:val="17"/>
        </w:rPr>
        <w:t> </w:t>
      </w:r>
      <w:r>
        <w:rPr>
          <w:color w:val="1D283B"/>
          <w:sz w:val="17"/>
        </w:rPr>
        <w:t>in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Azure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to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protect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corporate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data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from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unmanaged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device </w:t>
      </w:r>
      <w:r>
        <w:rPr>
          <w:color w:val="1D283B"/>
          <w:spacing w:val="-2"/>
          <w:sz w:val="17"/>
        </w:rPr>
        <w:t>access.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40" w:val="left" w:leader="none"/>
        </w:tabs>
        <w:spacing w:line="295" w:lineRule="auto" w:before="39" w:after="0"/>
        <w:ind w:left="440" w:right="872" w:hanging="160"/>
        <w:jc w:val="left"/>
        <w:rPr>
          <w:sz w:val="17"/>
        </w:rPr>
      </w:pPr>
      <w:r>
        <w:rPr>
          <w:color w:val="1D283B"/>
          <w:sz w:val="17"/>
        </w:rPr>
        <w:t>Managed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200+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VMs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on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VMware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ESXi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and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Hyper-V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—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improved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resource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utilization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by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25%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through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consolidation</w:t>
      </w:r>
      <w:r>
        <w:rPr>
          <w:color w:val="1D283B"/>
          <w:spacing w:val="-2"/>
          <w:sz w:val="17"/>
        </w:rPr>
        <w:t> </w:t>
      </w:r>
      <w:r>
        <w:rPr>
          <w:color w:val="1D283B"/>
          <w:sz w:val="17"/>
        </w:rPr>
        <w:t>and </w:t>
      </w:r>
      <w:r>
        <w:rPr>
          <w:color w:val="1D283B"/>
          <w:spacing w:val="-2"/>
          <w:sz w:val="17"/>
        </w:rPr>
        <w:t>rightsizing.</w:t>
      </w:r>
    </w:p>
    <w:p>
      <w:pPr>
        <w:pStyle w:val="Heading2"/>
      </w:pPr>
      <w:r>
        <w:rPr>
          <w:color w:val="1A3456"/>
        </w:rPr>
        <w:t>Citrix Environment </w:t>
      </w:r>
      <w:r>
        <w:rPr>
          <w:color w:val="1A3456"/>
          <w:spacing w:val="-2"/>
        </w:rPr>
        <w:t>Stabilization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40" w:val="left" w:leader="none"/>
        </w:tabs>
        <w:spacing w:line="295" w:lineRule="auto" w:before="72" w:after="0"/>
        <w:ind w:left="440" w:right="420" w:hanging="160"/>
        <w:jc w:val="left"/>
        <w:rPr>
          <w:sz w:val="17"/>
        </w:rPr>
      </w:pPr>
      <w:r>
        <w:rPr>
          <w:color w:val="1D283B"/>
          <w:sz w:val="17"/>
        </w:rPr>
        <w:t>Stabilized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</w:t>
      </w:r>
      <w:r>
        <w:rPr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Citrix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XenApp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farm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supporting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500+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concurrent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users</w:t>
      </w:r>
      <w:r>
        <w:rPr>
          <w:color w:val="1D283B"/>
          <w:sz w:val="17"/>
        </w:rPr>
        <w:t>,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achieving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</w:t>
      </w:r>
      <w:r>
        <w:rPr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35%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reduction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in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session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disconnects and logon times </w:t>
      </w:r>
      <w:r>
        <w:rPr>
          <w:color w:val="1D283B"/>
          <w:sz w:val="17"/>
        </w:rPr>
        <w:t>through policy tuning and profile management optimization.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40" w:after="0"/>
        <w:ind w:left="433" w:right="0" w:hanging="153"/>
        <w:jc w:val="left"/>
        <w:rPr>
          <w:sz w:val="17"/>
        </w:rPr>
      </w:pPr>
      <w:r>
        <w:rPr>
          <w:color w:val="1D283B"/>
          <w:sz w:val="17"/>
        </w:rPr>
        <w:t>Performed VDA health checks, session management, and proactive fault identification using </w:t>
      </w:r>
      <w:r>
        <w:rPr>
          <w:b/>
          <w:color w:val="1D283B"/>
          <w:sz w:val="17"/>
        </w:rPr>
        <w:t>Citrix Director </w:t>
      </w:r>
      <w:r>
        <w:rPr>
          <w:color w:val="1D283B"/>
          <w:spacing w:val="-2"/>
          <w:sz w:val="17"/>
        </w:rPr>
        <w:t>dashboards.</w:t>
      </w:r>
    </w:p>
    <w:p>
      <w:pPr>
        <w:pStyle w:val="Heading2"/>
        <w:spacing w:before="85"/>
      </w:pPr>
      <w:r>
        <w:rPr>
          <w:color w:val="1A3456"/>
        </w:rPr>
        <w:t>Scripting &amp; </w:t>
      </w:r>
      <w:r>
        <w:rPr>
          <w:color w:val="1A3456"/>
          <w:spacing w:val="-2"/>
        </w:rPr>
        <w:t>Automation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40" w:val="left" w:leader="none"/>
        </w:tabs>
        <w:spacing w:line="295" w:lineRule="auto" w:before="72" w:after="0"/>
        <w:ind w:left="440" w:right="202" w:hanging="160"/>
        <w:jc w:val="left"/>
        <w:rPr>
          <w:sz w:val="17"/>
        </w:rPr>
      </w:pPr>
      <w:r>
        <w:rPr>
          <w:color w:val="1D283B"/>
          <w:sz w:val="17"/>
        </w:rPr>
        <w:t>Developed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</w:t>
      </w:r>
      <w:r>
        <w:rPr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PowerShell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automation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suite</w:t>
      </w:r>
      <w:r>
        <w:rPr>
          <w:b/>
          <w:color w:val="1D283B"/>
          <w:spacing w:val="-3"/>
          <w:sz w:val="17"/>
        </w:rPr>
        <w:t> </w:t>
      </w:r>
      <w:r>
        <w:rPr>
          <w:color w:val="1D283B"/>
          <w:sz w:val="17"/>
        </w:rPr>
        <w:t>covering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user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provisioning/de-provisioning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(AD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+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Azure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AD),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server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health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checks, disk/CPU alerting, and weekly compliance reporting — saving </w:t>
      </w:r>
      <w:r>
        <w:rPr>
          <w:b/>
          <w:color w:val="1D283B"/>
          <w:sz w:val="17"/>
        </w:rPr>
        <w:t>10+ hours of manual effort per week</w:t>
      </w:r>
      <w:r>
        <w:rPr>
          <w:color w:val="1D283B"/>
          <w:sz w:val="17"/>
        </w:rPr>
        <w:t>.</w:t>
      </w:r>
    </w:p>
    <w:p>
      <w:pPr>
        <w:pStyle w:val="ListParagraph"/>
        <w:numPr>
          <w:ilvl w:val="0"/>
          <w:numId w:val="1"/>
        </w:numPr>
        <w:tabs>
          <w:tab w:pos="430" w:val="left" w:leader="none"/>
          <w:tab w:pos="440" w:val="left" w:leader="none"/>
        </w:tabs>
        <w:spacing w:line="295" w:lineRule="auto" w:before="39" w:after="0"/>
        <w:ind w:left="440" w:right="117" w:hanging="160"/>
        <w:jc w:val="left"/>
        <w:rPr>
          <w:sz w:val="17"/>
        </w:rPr>
      </w:pPr>
      <w:r>
        <w:rPr>
          <w:color w:val="1D283B"/>
          <w:sz w:val="17"/>
        </w:rPr>
        <w:t>Built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Python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scripts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for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log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parsing,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patch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status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aggregation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from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WSUS/SCCM,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and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auto-distribution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of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management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reports</w:t>
      </w:r>
      <w:r>
        <w:rPr>
          <w:color w:val="1D283B"/>
          <w:spacing w:val="-4"/>
          <w:sz w:val="17"/>
        </w:rPr>
        <w:t> </w:t>
      </w:r>
      <w:r>
        <w:rPr>
          <w:color w:val="1D283B"/>
          <w:sz w:val="17"/>
        </w:rPr>
        <w:t>— reducing reporting cycle from 2 days to under </w:t>
      </w:r>
      <w:r>
        <w:rPr>
          <w:b/>
          <w:color w:val="1D283B"/>
          <w:sz w:val="17"/>
        </w:rPr>
        <w:t>30 minutes</w:t>
      </w:r>
      <w:r>
        <w:rPr>
          <w:color w:val="1D283B"/>
          <w:sz w:val="17"/>
        </w:rPr>
        <w:t>.</w:t>
      </w:r>
    </w:p>
    <w:p>
      <w:pPr>
        <w:pStyle w:val="Heading2"/>
      </w:pPr>
      <w:r>
        <w:rPr>
          <w:color w:val="1A3456"/>
        </w:rPr>
        <w:t>Patch Management &amp; </w:t>
      </w:r>
      <w:r>
        <w:rPr>
          <w:color w:val="1A3456"/>
          <w:spacing w:val="-2"/>
        </w:rPr>
        <w:t>Compliance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40" w:val="left" w:leader="none"/>
        </w:tabs>
        <w:spacing w:line="295" w:lineRule="auto" w:before="72" w:after="0"/>
        <w:ind w:left="440" w:right="1062" w:hanging="160"/>
        <w:jc w:val="left"/>
        <w:rPr>
          <w:sz w:val="17"/>
        </w:rPr>
      </w:pPr>
      <w:r>
        <w:rPr>
          <w:color w:val="1D283B"/>
          <w:sz w:val="17"/>
        </w:rPr>
        <w:t>Orchestrated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monthly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Windows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patching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cycles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using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SCCM/WSUS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for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3,500+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endpoints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—</w:t>
      </w:r>
      <w:r>
        <w:rPr>
          <w:color w:val="1D283B"/>
          <w:spacing w:val="-3"/>
          <w:sz w:val="17"/>
        </w:rPr>
        <w:t> </w:t>
      </w:r>
      <w:r>
        <w:rPr>
          <w:color w:val="1D283B"/>
          <w:sz w:val="17"/>
        </w:rPr>
        <w:t>achieved</w:t>
      </w:r>
      <w:r>
        <w:rPr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98.5%</w:t>
      </w:r>
      <w:r>
        <w:rPr>
          <w:b/>
          <w:color w:val="1D283B"/>
          <w:spacing w:val="-3"/>
          <w:sz w:val="17"/>
        </w:rPr>
        <w:t> </w:t>
      </w:r>
      <w:r>
        <w:rPr>
          <w:b/>
          <w:color w:val="1D283B"/>
          <w:sz w:val="17"/>
        </w:rPr>
        <w:t>patch compliance </w:t>
      </w:r>
      <w:r>
        <w:rPr>
          <w:color w:val="1D283B"/>
          <w:sz w:val="17"/>
        </w:rPr>
        <w:t>and reduced critical vulnerabilities by 80% within 48 hours of patch release.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39" w:after="0"/>
        <w:ind w:left="433" w:right="0" w:hanging="153"/>
        <w:jc w:val="left"/>
        <w:rPr>
          <w:sz w:val="17"/>
        </w:rPr>
      </w:pPr>
      <w:r>
        <w:rPr>
          <w:color w:val="1D283B"/>
          <w:sz w:val="17"/>
        </w:rPr>
        <w:t>Administered multi-domain Active Directory for 5,000+ users; GPO optimization reduced login-related helpdesk tickets by </w:t>
      </w:r>
      <w:r>
        <w:rPr>
          <w:color w:val="1D283B"/>
          <w:spacing w:val="-4"/>
          <w:sz w:val="17"/>
        </w:rPr>
        <w:t>30%.</w:t>
      </w:r>
    </w:p>
    <w:p>
      <w:pPr>
        <w:spacing w:line="288" w:lineRule="auto" w:before="84"/>
        <w:ind w:left="320" w:right="546" w:firstLine="0"/>
        <w:jc w:val="left"/>
        <w:rPr>
          <w:i/>
          <w:sz w:val="16"/>
        </w:rPr>
      </w:pPr>
      <w:r>
        <w:rPr>
          <w:i/>
          <w:color w:val="64748A"/>
          <w:sz w:val="16"/>
        </w:rPr>
        <w:t>Key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Technologies: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Windows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Server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2016/2019,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AD,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GPO,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DNS,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DHCP,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SCCM,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WSUS,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M365,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Azure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AD,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VMware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vSphere</w:t>
      </w:r>
      <w:r>
        <w:rPr>
          <w:i/>
          <w:color w:val="64748A"/>
          <w:spacing w:val="-3"/>
          <w:sz w:val="16"/>
        </w:rPr>
        <w:t> </w:t>
      </w:r>
      <w:r>
        <w:rPr>
          <w:i/>
          <w:color w:val="64748A"/>
          <w:sz w:val="16"/>
        </w:rPr>
        <w:t>6.7/7.0,</w:t>
      </w:r>
      <w:r>
        <w:rPr>
          <w:i/>
          <w:color w:val="64748A"/>
          <w:sz w:val="16"/>
        </w:rPr>
        <w:t> Hyper-V, Citrix XenApp/XenDesktop, SolarWinds, PowerShell, Python, ServiceNow</w:t>
      </w:r>
    </w:p>
    <w:p>
      <w:pPr>
        <w:pStyle w:val="Heading1"/>
        <w:spacing w:before="161"/>
      </w:pPr>
      <w:r>
        <w:rPr>
          <w:color w:val="1A3456"/>
          <w:spacing w:val="-2"/>
        </w:rPr>
        <w:t>EDUCATION</w:t>
      </w:r>
    </w:p>
    <w:p>
      <w:pPr>
        <w:pStyle w:val="BodyText"/>
        <w:spacing w:before="6"/>
        <w:ind w:left="0" w:firstLine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616200</wp:posOffset>
                </wp:positionH>
                <wp:positionV relativeFrom="paragraph">
                  <wp:posOffset>56008</wp:posOffset>
                </wp:positionV>
                <wp:extent cx="632777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0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691pt;margin-top:4.410156pt;width:498.25pt;height:.1pt;mso-position-horizontal-relative:page;mso-position-vertical-relative:paragraph;z-index:-15725056;mso-wrap-distance-left:0;mso-wrap-distance-right:0" id="docshape8" coordorigin="970,88" coordsize="9965,0" path="m970,88l10935,88e" filled="false" stroked="true" strokeweight=".5pt" strokecolor="#2462e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447" w:val="left" w:leader="none"/>
        </w:tabs>
        <w:spacing w:before="105"/>
        <w:ind w:left="113" w:right="0" w:firstLine="0"/>
        <w:jc w:val="left"/>
        <w:rPr>
          <w:position w:val="1"/>
          <w:sz w:val="17"/>
        </w:rPr>
      </w:pPr>
      <w:r>
        <w:rPr>
          <w:b/>
          <w:color w:val="1D283B"/>
          <w:sz w:val="18"/>
        </w:rPr>
        <w:t>Master of Science in Computer </w:t>
      </w:r>
      <w:r>
        <w:rPr>
          <w:b/>
          <w:color w:val="1D283B"/>
          <w:spacing w:val="-2"/>
          <w:sz w:val="18"/>
        </w:rPr>
        <w:t>Science</w:t>
      </w:r>
      <w:r>
        <w:rPr>
          <w:b/>
          <w:color w:val="1D283B"/>
          <w:sz w:val="18"/>
        </w:rPr>
        <w:tab/>
      </w:r>
      <w:r>
        <w:rPr>
          <w:color w:val="64748A"/>
          <w:position w:val="1"/>
          <w:sz w:val="17"/>
        </w:rPr>
        <w:t>Dec</w:t>
      </w:r>
      <w:r>
        <w:rPr>
          <w:color w:val="64748A"/>
          <w:spacing w:val="-2"/>
          <w:position w:val="1"/>
          <w:sz w:val="17"/>
        </w:rPr>
        <w:t> </w:t>
      </w:r>
      <w:r>
        <w:rPr>
          <w:color w:val="64748A"/>
          <w:position w:val="1"/>
          <w:sz w:val="17"/>
        </w:rPr>
        <w:t>2021 – Dec </w:t>
      </w:r>
      <w:r>
        <w:rPr>
          <w:color w:val="64748A"/>
          <w:spacing w:val="-4"/>
          <w:position w:val="1"/>
          <w:sz w:val="17"/>
        </w:rPr>
        <w:t>2023</w:t>
      </w:r>
    </w:p>
    <w:p>
      <w:pPr>
        <w:spacing w:before="83"/>
        <w:ind w:left="113" w:right="0" w:firstLine="0"/>
        <w:jc w:val="left"/>
        <w:rPr>
          <w:i/>
          <w:sz w:val="17"/>
        </w:rPr>
      </w:pPr>
      <w:r>
        <w:rPr>
          <w:i/>
          <w:color w:val="2462EB"/>
          <w:sz w:val="17"/>
        </w:rPr>
        <w:t>Banaras Hindu University, Varanasi, </w:t>
      </w:r>
      <w:r>
        <w:rPr>
          <w:i/>
          <w:color w:val="2462EB"/>
          <w:spacing w:val="-2"/>
          <w:sz w:val="17"/>
        </w:rPr>
        <w:t>India</w:t>
      </w:r>
    </w:p>
    <w:p>
      <w:pPr>
        <w:tabs>
          <w:tab w:pos="8447" w:val="left" w:leader="none"/>
        </w:tabs>
        <w:spacing w:before="134"/>
        <w:ind w:left="113" w:right="0" w:firstLine="0"/>
        <w:jc w:val="left"/>
        <w:rPr>
          <w:position w:val="1"/>
          <w:sz w:val="17"/>
        </w:rPr>
      </w:pPr>
      <w:r>
        <w:rPr>
          <w:b/>
          <w:color w:val="1D283B"/>
          <w:sz w:val="18"/>
        </w:rPr>
        <w:t>Bachelor of Computer </w:t>
      </w:r>
      <w:r>
        <w:rPr>
          <w:b/>
          <w:color w:val="1D283B"/>
          <w:spacing w:val="-2"/>
          <w:sz w:val="18"/>
        </w:rPr>
        <w:t>Applications</w:t>
      </w:r>
      <w:r>
        <w:rPr>
          <w:b/>
          <w:color w:val="1D283B"/>
          <w:sz w:val="18"/>
        </w:rPr>
        <w:tab/>
      </w:r>
      <w:r>
        <w:rPr>
          <w:color w:val="64748A"/>
          <w:position w:val="1"/>
          <w:sz w:val="17"/>
        </w:rPr>
        <w:t>Dec</w:t>
      </w:r>
      <w:r>
        <w:rPr>
          <w:color w:val="64748A"/>
          <w:spacing w:val="-2"/>
          <w:position w:val="1"/>
          <w:sz w:val="17"/>
        </w:rPr>
        <w:t> </w:t>
      </w:r>
      <w:r>
        <w:rPr>
          <w:color w:val="64748A"/>
          <w:position w:val="1"/>
          <w:sz w:val="17"/>
        </w:rPr>
        <w:t>2011 – Dec </w:t>
      </w:r>
      <w:r>
        <w:rPr>
          <w:color w:val="64748A"/>
          <w:spacing w:val="-4"/>
          <w:position w:val="1"/>
          <w:sz w:val="17"/>
        </w:rPr>
        <w:t>2014</w:t>
      </w:r>
    </w:p>
    <w:p>
      <w:pPr>
        <w:spacing w:before="83"/>
        <w:ind w:left="113" w:right="0" w:firstLine="0"/>
        <w:jc w:val="left"/>
        <w:rPr>
          <w:i/>
          <w:sz w:val="17"/>
        </w:rPr>
      </w:pPr>
      <w:r>
        <w:rPr>
          <w:i/>
          <w:color w:val="2462EB"/>
          <w:sz w:val="17"/>
        </w:rPr>
        <w:t>University of Lucknow, Lucknow, </w:t>
      </w:r>
      <w:r>
        <w:rPr>
          <w:i/>
          <w:color w:val="2462EB"/>
          <w:spacing w:val="-2"/>
          <w:sz w:val="17"/>
        </w:rPr>
        <w:t>India</w:t>
      </w:r>
    </w:p>
    <w:p>
      <w:pPr>
        <w:pStyle w:val="Heading1"/>
        <w:spacing w:before="1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616200</wp:posOffset>
                </wp:positionH>
                <wp:positionV relativeFrom="paragraph">
                  <wp:posOffset>300880</wp:posOffset>
                </wp:positionV>
                <wp:extent cx="632777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0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48.519691pt,23.691406pt" to="546.755891pt,23.691406pt" stroked="true" strokeweight=".5pt" strokecolor="#2462eb">
                <v:stroke dashstyle="solid"/>
                <w10:wrap type="none"/>
              </v:line>
            </w:pict>
          </mc:Fallback>
        </mc:AlternateContent>
      </w:r>
      <w:r>
        <w:rPr>
          <w:color w:val="1A3456"/>
          <w:spacing w:val="-2"/>
        </w:rPr>
        <w:t>CERTIFICATIONS</w:t>
      </w:r>
    </w:p>
    <w:p>
      <w:pPr>
        <w:pStyle w:val="ListParagraph"/>
        <w:numPr>
          <w:ilvl w:val="0"/>
          <w:numId w:val="2"/>
        </w:numPr>
        <w:tabs>
          <w:tab w:pos="306" w:val="left" w:leader="none"/>
          <w:tab w:pos="10051" w:val="right" w:leader="none"/>
        </w:tabs>
        <w:spacing w:line="240" w:lineRule="auto" w:before="218" w:after="0"/>
        <w:ind w:left="306" w:right="0" w:hanging="153"/>
        <w:jc w:val="left"/>
        <w:rPr>
          <w:b/>
          <w:sz w:val="17"/>
        </w:rPr>
      </w:pPr>
      <w:r>
        <w:rPr>
          <w:color w:val="1D283B"/>
          <w:sz w:val="17"/>
        </w:rPr>
        <w:t>Oracle Cloud Infrastructure 2025 AI Foundations Associate (1Z0-1122-</w:t>
      </w:r>
      <w:r>
        <w:rPr>
          <w:color w:val="1D283B"/>
          <w:spacing w:val="-5"/>
          <w:sz w:val="17"/>
        </w:rPr>
        <w:t>25)</w:t>
      </w:r>
      <w:r>
        <w:rPr>
          <w:color w:val="1D283B"/>
          <w:sz w:val="17"/>
        </w:rPr>
        <w:tab/>
      </w:r>
      <w:r>
        <w:rPr>
          <w:b/>
          <w:color w:val="2462EB"/>
          <w:spacing w:val="-4"/>
          <w:sz w:val="17"/>
        </w:rPr>
        <w:t>2025</w:t>
      </w:r>
    </w:p>
    <w:p>
      <w:pPr>
        <w:pStyle w:val="ListParagraph"/>
        <w:numPr>
          <w:ilvl w:val="0"/>
          <w:numId w:val="2"/>
        </w:numPr>
        <w:tabs>
          <w:tab w:pos="306" w:val="left" w:leader="none"/>
          <w:tab w:pos="10051" w:val="right" w:leader="none"/>
        </w:tabs>
        <w:spacing w:line="240" w:lineRule="auto" w:before="125" w:after="0"/>
        <w:ind w:left="306" w:right="0" w:hanging="153"/>
        <w:jc w:val="left"/>
        <w:rPr>
          <w:b/>
          <w:sz w:val="17"/>
        </w:rPr>
      </w:pPr>
      <w:r>
        <w:rPr>
          <w:color w:val="1D283B"/>
          <w:sz w:val="17"/>
        </w:rPr>
        <w:t>Build Your Generative AI Productivity Skills – Microsoft &amp; </w:t>
      </w:r>
      <w:r>
        <w:rPr>
          <w:color w:val="1D283B"/>
          <w:spacing w:val="-2"/>
          <w:sz w:val="17"/>
        </w:rPr>
        <w:t>LinkedIn</w:t>
      </w:r>
      <w:r>
        <w:rPr>
          <w:color w:val="1D283B"/>
          <w:sz w:val="17"/>
        </w:rPr>
        <w:tab/>
      </w:r>
      <w:r>
        <w:rPr>
          <w:b/>
          <w:color w:val="2462EB"/>
          <w:spacing w:val="-4"/>
          <w:sz w:val="17"/>
        </w:rPr>
        <w:t>2024</w:t>
      </w:r>
    </w:p>
    <w:p>
      <w:pPr>
        <w:pStyle w:val="ListParagraph"/>
        <w:numPr>
          <w:ilvl w:val="0"/>
          <w:numId w:val="2"/>
        </w:numPr>
        <w:tabs>
          <w:tab w:pos="306" w:val="left" w:leader="none"/>
          <w:tab w:pos="10051" w:val="right" w:leader="none"/>
        </w:tabs>
        <w:spacing w:line="240" w:lineRule="auto" w:before="124" w:after="0"/>
        <w:ind w:left="306" w:right="0" w:hanging="153"/>
        <w:jc w:val="left"/>
        <w:rPr>
          <w:b/>
          <w:sz w:val="17"/>
        </w:rPr>
      </w:pPr>
      <w:r>
        <w:rPr>
          <w:color w:val="1D283B"/>
          <w:sz w:val="17"/>
        </w:rPr>
        <w:t>IIT Madras: The Joy of Computing Using </w:t>
      </w:r>
      <w:r>
        <w:rPr>
          <w:color w:val="1D283B"/>
          <w:spacing w:val="-2"/>
          <w:sz w:val="17"/>
        </w:rPr>
        <w:t>Python</w:t>
      </w:r>
      <w:r>
        <w:rPr>
          <w:color w:val="1D283B"/>
          <w:sz w:val="17"/>
        </w:rPr>
        <w:tab/>
      </w:r>
      <w:r>
        <w:rPr>
          <w:b/>
          <w:color w:val="2462EB"/>
          <w:spacing w:val="-4"/>
          <w:sz w:val="17"/>
        </w:rPr>
        <w:t>2023</w:t>
      </w:r>
    </w:p>
    <w:p>
      <w:pPr>
        <w:pStyle w:val="ListParagraph"/>
        <w:numPr>
          <w:ilvl w:val="0"/>
          <w:numId w:val="2"/>
        </w:numPr>
        <w:tabs>
          <w:tab w:pos="306" w:val="left" w:leader="none"/>
          <w:tab w:pos="10051" w:val="right" w:leader="none"/>
        </w:tabs>
        <w:spacing w:line="240" w:lineRule="auto" w:before="125" w:after="0"/>
        <w:ind w:left="306" w:right="0" w:hanging="153"/>
        <w:jc w:val="left"/>
        <w:rPr>
          <w:b/>
          <w:sz w:val="17"/>
        </w:rPr>
      </w:pPr>
      <w:r>
        <w:rPr>
          <w:color w:val="1D283B"/>
          <w:sz w:val="17"/>
        </w:rPr>
        <w:t>IIIT Hyderabad: Online Privacy &amp; Cloud </w:t>
      </w:r>
      <w:r>
        <w:rPr>
          <w:color w:val="1D283B"/>
          <w:spacing w:val="-2"/>
          <w:sz w:val="17"/>
        </w:rPr>
        <w:t>Security</w:t>
      </w:r>
      <w:r>
        <w:rPr>
          <w:color w:val="1D283B"/>
          <w:sz w:val="17"/>
        </w:rPr>
        <w:tab/>
      </w:r>
      <w:r>
        <w:rPr>
          <w:b/>
          <w:color w:val="2462EB"/>
          <w:spacing w:val="-4"/>
          <w:sz w:val="17"/>
        </w:rPr>
        <w:t>2022</w:t>
      </w:r>
    </w:p>
    <w:p>
      <w:pPr>
        <w:pStyle w:val="ListParagraph"/>
        <w:numPr>
          <w:ilvl w:val="0"/>
          <w:numId w:val="2"/>
        </w:numPr>
        <w:tabs>
          <w:tab w:pos="306" w:val="left" w:leader="none"/>
          <w:tab w:pos="10051" w:val="right" w:leader="none"/>
        </w:tabs>
        <w:spacing w:line="240" w:lineRule="auto" w:before="124" w:after="0"/>
        <w:ind w:left="306" w:right="0" w:hanging="153"/>
        <w:jc w:val="left"/>
        <w:rPr>
          <w:b/>
          <w:sz w:val="17"/>
        </w:rPr>
      </w:pPr>
      <w:r>
        <w:rPr>
          <w:color w:val="1D283B"/>
          <w:sz w:val="17"/>
        </w:rPr>
        <w:t>IIT Kharagpur: Ethical Hacking &amp; Cloud </w:t>
      </w:r>
      <w:r>
        <w:rPr>
          <w:color w:val="1D283B"/>
          <w:spacing w:val="-2"/>
          <w:sz w:val="17"/>
        </w:rPr>
        <w:t>Security</w:t>
      </w:r>
      <w:r>
        <w:rPr>
          <w:color w:val="1D283B"/>
          <w:sz w:val="17"/>
        </w:rPr>
        <w:tab/>
      </w:r>
      <w:r>
        <w:rPr>
          <w:b/>
          <w:color w:val="2462EB"/>
          <w:spacing w:val="-4"/>
          <w:sz w:val="17"/>
        </w:rPr>
        <w:t>2022</w:t>
      </w:r>
    </w:p>
    <w:p>
      <w:pPr>
        <w:pStyle w:val="ListParagraph"/>
        <w:numPr>
          <w:ilvl w:val="0"/>
          <w:numId w:val="2"/>
        </w:numPr>
        <w:tabs>
          <w:tab w:pos="306" w:val="left" w:leader="none"/>
          <w:tab w:pos="10051" w:val="right" w:leader="none"/>
        </w:tabs>
        <w:spacing w:line="240" w:lineRule="auto" w:before="125" w:after="0"/>
        <w:ind w:left="306" w:right="0" w:hanging="153"/>
        <w:jc w:val="left"/>
        <w:rPr>
          <w:b/>
          <w:sz w:val="17"/>
        </w:rPr>
      </w:pPr>
      <w:r>
        <w:rPr>
          <w:color w:val="1D283B"/>
          <w:sz w:val="17"/>
        </w:rPr>
        <w:t>IELTS Academic English </w:t>
      </w:r>
      <w:r>
        <w:rPr>
          <w:color w:val="1D283B"/>
          <w:spacing w:val="-2"/>
          <w:sz w:val="17"/>
        </w:rPr>
        <w:t>Proficiency</w:t>
      </w:r>
      <w:r>
        <w:rPr>
          <w:color w:val="1D283B"/>
          <w:sz w:val="17"/>
        </w:rPr>
        <w:tab/>
      </w:r>
      <w:r>
        <w:rPr>
          <w:b/>
          <w:color w:val="2462EB"/>
          <w:spacing w:val="-4"/>
          <w:sz w:val="17"/>
        </w:rPr>
        <w:t>2019</w:t>
      </w:r>
    </w:p>
    <w:p>
      <w:pPr>
        <w:spacing w:line="307" w:lineRule="auto" w:before="319"/>
        <w:ind w:left="120" w:right="7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616200</wp:posOffset>
                </wp:positionH>
                <wp:positionV relativeFrom="paragraph">
                  <wp:posOffset>142206</wp:posOffset>
                </wp:positionV>
                <wp:extent cx="632777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0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48.519691pt,11.197363pt" to="546.755891pt,11.197363pt" stroked="true" strokeweight=".5pt" strokecolor="#cad4e1">
                <v:stroke dashstyle="solid"/>
                <w10:wrap type="none"/>
              </v:line>
            </w:pict>
          </mc:Fallback>
        </mc:AlternateContent>
      </w:r>
      <w:r>
        <w:rPr>
          <w:b/>
          <w:color w:val="64748A"/>
          <w:w w:val="105"/>
          <w:sz w:val="15"/>
        </w:rPr>
        <w:t>Career</w:t>
      </w:r>
      <w:r>
        <w:rPr>
          <w:b/>
          <w:color w:val="64748A"/>
          <w:spacing w:val="-6"/>
          <w:w w:val="105"/>
          <w:sz w:val="15"/>
        </w:rPr>
        <w:t> </w:t>
      </w:r>
      <w:r>
        <w:rPr>
          <w:b/>
          <w:color w:val="64748A"/>
          <w:w w:val="105"/>
          <w:sz w:val="15"/>
        </w:rPr>
        <w:t>Note:</w:t>
      </w:r>
      <w:r>
        <w:rPr>
          <w:b/>
          <w:color w:val="64748A"/>
          <w:spacing w:val="-6"/>
          <w:w w:val="105"/>
          <w:sz w:val="15"/>
        </w:rPr>
        <w:t> </w:t>
      </w:r>
      <w:r>
        <w:rPr>
          <w:color w:val="64748A"/>
          <w:w w:val="105"/>
          <w:sz w:val="15"/>
        </w:rPr>
        <w:t>Pursued</w:t>
      </w:r>
      <w:r>
        <w:rPr>
          <w:color w:val="64748A"/>
          <w:spacing w:val="-6"/>
          <w:w w:val="105"/>
          <w:sz w:val="15"/>
        </w:rPr>
        <w:t> </w:t>
      </w:r>
      <w:r>
        <w:rPr>
          <w:color w:val="64748A"/>
          <w:w w:val="105"/>
          <w:sz w:val="15"/>
        </w:rPr>
        <w:t>full-time</w:t>
      </w:r>
      <w:r>
        <w:rPr>
          <w:color w:val="64748A"/>
          <w:spacing w:val="-6"/>
          <w:w w:val="105"/>
          <w:sz w:val="15"/>
        </w:rPr>
        <w:t> </w:t>
      </w:r>
      <w:r>
        <w:rPr>
          <w:color w:val="64748A"/>
          <w:w w:val="105"/>
          <w:sz w:val="15"/>
        </w:rPr>
        <w:t>postgraduate</w:t>
      </w:r>
      <w:r>
        <w:rPr>
          <w:color w:val="64748A"/>
          <w:spacing w:val="-6"/>
          <w:w w:val="105"/>
          <w:sz w:val="15"/>
        </w:rPr>
        <w:t> </w:t>
      </w:r>
      <w:r>
        <w:rPr>
          <w:color w:val="64748A"/>
          <w:w w:val="105"/>
          <w:sz w:val="15"/>
        </w:rPr>
        <w:t>studies</w:t>
      </w:r>
      <w:r>
        <w:rPr>
          <w:color w:val="64748A"/>
          <w:spacing w:val="-6"/>
          <w:w w:val="105"/>
          <w:sz w:val="15"/>
        </w:rPr>
        <w:t> </w:t>
      </w:r>
      <w:r>
        <w:rPr>
          <w:color w:val="64748A"/>
          <w:w w:val="105"/>
          <w:sz w:val="15"/>
        </w:rPr>
        <w:t>(MSc,</w:t>
      </w:r>
      <w:r>
        <w:rPr>
          <w:color w:val="64748A"/>
          <w:spacing w:val="-6"/>
          <w:w w:val="105"/>
          <w:sz w:val="15"/>
        </w:rPr>
        <w:t> </w:t>
      </w:r>
      <w:r>
        <w:rPr>
          <w:color w:val="64748A"/>
          <w:w w:val="105"/>
          <w:sz w:val="15"/>
        </w:rPr>
        <w:t>BHU)</w:t>
      </w:r>
      <w:r>
        <w:rPr>
          <w:color w:val="64748A"/>
          <w:spacing w:val="-6"/>
          <w:w w:val="105"/>
          <w:sz w:val="15"/>
        </w:rPr>
        <w:t> </w:t>
      </w:r>
      <w:r>
        <w:rPr>
          <w:color w:val="64748A"/>
          <w:w w:val="105"/>
          <w:sz w:val="15"/>
        </w:rPr>
        <w:t>Dec</w:t>
      </w:r>
      <w:r>
        <w:rPr>
          <w:color w:val="64748A"/>
          <w:spacing w:val="-6"/>
          <w:w w:val="105"/>
          <w:sz w:val="15"/>
        </w:rPr>
        <w:t> </w:t>
      </w:r>
      <w:r>
        <w:rPr>
          <w:color w:val="64748A"/>
          <w:w w:val="105"/>
          <w:sz w:val="15"/>
        </w:rPr>
        <w:t>2021–Dec</w:t>
      </w:r>
      <w:r>
        <w:rPr>
          <w:color w:val="64748A"/>
          <w:spacing w:val="-6"/>
          <w:w w:val="105"/>
          <w:sz w:val="15"/>
        </w:rPr>
        <w:t> </w:t>
      </w:r>
      <w:r>
        <w:rPr>
          <w:color w:val="64748A"/>
          <w:w w:val="105"/>
          <w:sz w:val="15"/>
        </w:rPr>
        <w:t>2023</w:t>
      </w:r>
      <w:r>
        <w:rPr>
          <w:color w:val="64748A"/>
          <w:spacing w:val="-6"/>
          <w:w w:val="105"/>
          <w:sz w:val="15"/>
        </w:rPr>
        <w:t> </w:t>
      </w:r>
      <w:r>
        <w:rPr>
          <w:color w:val="64748A"/>
          <w:w w:val="105"/>
          <w:sz w:val="15"/>
        </w:rPr>
        <w:t>concurrent</w:t>
      </w:r>
      <w:r>
        <w:rPr>
          <w:color w:val="64748A"/>
          <w:spacing w:val="-6"/>
          <w:w w:val="105"/>
          <w:sz w:val="15"/>
        </w:rPr>
        <w:t> </w:t>
      </w:r>
      <w:r>
        <w:rPr>
          <w:color w:val="64748A"/>
          <w:w w:val="105"/>
          <w:sz w:val="15"/>
        </w:rPr>
        <w:t>with</w:t>
      </w:r>
      <w:r>
        <w:rPr>
          <w:color w:val="64748A"/>
          <w:spacing w:val="-6"/>
          <w:w w:val="105"/>
          <w:sz w:val="15"/>
        </w:rPr>
        <w:t> </w:t>
      </w:r>
      <w:r>
        <w:rPr>
          <w:color w:val="64748A"/>
          <w:w w:val="105"/>
          <w:sz w:val="15"/>
        </w:rPr>
        <w:t>consulting</w:t>
      </w:r>
      <w:r>
        <w:rPr>
          <w:color w:val="64748A"/>
          <w:spacing w:val="-6"/>
          <w:w w:val="105"/>
          <w:sz w:val="15"/>
        </w:rPr>
        <w:t> </w:t>
      </w:r>
      <w:r>
        <w:rPr>
          <w:color w:val="64748A"/>
          <w:w w:val="105"/>
          <w:sz w:val="15"/>
        </w:rPr>
        <w:t>practice</w:t>
      </w:r>
      <w:r>
        <w:rPr>
          <w:color w:val="64748A"/>
          <w:spacing w:val="-6"/>
          <w:w w:val="105"/>
          <w:sz w:val="15"/>
        </w:rPr>
        <w:t> </w:t>
      </w:r>
      <w:r>
        <w:rPr>
          <w:color w:val="64748A"/>
          <w:w w:val="105"/>
          <w:sz w:val="15"/>
        </w:rPr>
        <w:t>development.</w:t>
      </w:r>
      <w:r>
        <w:rPr>
          <w:color w:val="64748A"/>
          <w:spacing w:val="-6"/>
          <w:w w:val="105"/>
          <w:sz w:val="15"/>
        </w:rPr>
        <w:t> </w:t>
      </w:r>
      <w:r>
        <w:rPr>
          <w:color w:val="64748A"/>
          <w:w w:val="105"/>
          <w:sz w:val="15"/>
        </w:rPr>
        <w:t>Since Jan</w:t>
      </w:r>
      <w:r>
        <w:rPr>
          <w:color w:val="64748A"/>
          <w:spacing w:val="-7"/>
          <w:w w:val="105"/>
          <w:sz w:val="15"/>
        </w:rPr>
        <w:t> </w:t>
      </w:r>
      <w:r>
        <w:rPr>
          <w:color w:val="64748A"/>
          <w:w w:val="105"/>
          <w:sz w:val="15"/>
        </w:rPr>
        <w:t>2024,</w:t>
      </w:r>
      <w:r>
        <w:rPr>
          <w:color w:val="64748A"/>
          <w:spacing w:val="-7"/>
          <w:w w:val="105"/>
          <w:sz w:val="15"/>
        </w:rPr>
        <w:t> </w:t>
      </w:r>
      <w:r>
        <w:rPr>
          <w:color w:val="64748A"/>
          <w:w w:val="105"/>
          <w:sz w:val="15"/>
        </w:rPr>
        <w:t>operating</w:t>
      </w:r>
      <w:r>
        <w:rPr>
          <w:color w:val="64748A"/>
          <w:spacing w:val="-7"/>
          <w:w w:val="105"/>
          <w:sz w:val="15"/>
        </w:rPr>
        <w:t> </w:t>
      </w:r>
      <w:r>
        <w:rPr>
          <w:color w:val="64748A"/>
          <w:w w:val="105"/>
          <w:sz w:val="15"/>
        </w:rPr>
        <w:t>Softcorp</w:t>
      </w:r>
      <w:r>
        <w:rPr>
          <w:color w:val="64748A"/>
          <w:spacing w:val="-7"/>
          <w:w w:val="105"/>
          <w:sz w:val="15"/>
        </w:rPr>
        <w:t> </w:t>
      </w:r>
      <w:r>
        <w:rPr>
          <w:color w:val="64748A"/>
          <w:w w:val="105"/>
          <w:sz w:val="15"/>
        </w:rPr>
        <w:t>Group</w:t>
      </w:r>
      <w:r>
        <w:rPr>
          <w:color w:val="64748A"/>
          <w:spacing w:val="-7"/>
          <w:w w:val="105"/>
          <w:sz w:val="15"/>
        </w:rPr>
        <w:t> </w:t>
      </w:r>
      <w:r>
        <w:rPr>
          <w:color w:val="64748A"/>
          <w:w w:val="105"/>
          <w:sz w:val="15"/>
        </w:rPr>
        <w:t>LLC</w:t>
      </w:r>
      <w:r>
        <w:rPr>
          <w:color w:val="64748A"/>
          <w:spacing w:val="-7"/>
          <w:w w:val="105"/>
          <w:sz w:val="15"/>
        </w:rPr>
        <w:t> </w:t>
      </w:r>
      <w:r>
        <w:rPr>
          <w:color w:val="64748A"/>
          <w:w w:val="105"/>
          <w:sz w:val="15"/>
        </w:rPr>
        <w:t>—</w:t>
      </w:r>
      <w:r>
        <w:rPr>
          <w:color w:val="64748A"/>
          <w:spacing w:val="-7"/>
          <w:w w:val="105"/>
          <w:sz w:val="15"/>
        </w:rPr>
        <w:t> </w:t>
      </w:r>
      <w:r>
        <w:rPr>
          <w:color w:val="64748A"/>
          <w:w w:val="105"/>
          <w:sz w:val="15"/>
        </w:rPr>
        <w:t>delivering</w:t>
      </w:r>
      <w:r>
        <w:rPr>
          <w:color w:val="64748A"/>
          <w:spacing w:val="-7"/>
          <w:w w:val="105"/>
          <w:sz w:val="15"/>
        </w:rPr>
        <w:t> </w:t>
      </w:r>
      <w:r>
        <w:rPr>
          <w:color w:val="64748A"/>
          <w:w w:val="105"/>
          <w:sz w:val="15"/>
        </w:rPr>
        <w:t>enterprise-grade</w:t>
      </w:r>
      <w:r>
        <w:rPr>
          <w:color w:val="64748A"/>
          <w:spacing w:val="-7"/>
          <w:w w:val="105"/>
          <w:sz w:val="15"/>
        </w:rPr>
        <w:t> </w:t>
      </w:r>
      <w:r>
        <w:rPr>
          <w:color w:val="64748A"/>
          <w:w w:val="105"/>
          <w:sz w:val="15"/>
        </w:rPr>
        <w:t>cloud</w:t>
      </w:r>
      <w:r>
        <w:rPr>
          <w:color w:val="64748A"/>
          <w:spacing w:val="-7"/>
          <w:w w:val="105"/>
          <w:sz w:val="15"/>
        </w:rPr>
        <w:t> </w:t>
      </w:r>
      <w:r>
        <w:rPr>
          <w:color w:val="64748A"/>
          <w:w w:val="105"/>
          <w:sz w:val="15"/>
        </w:rPr>
        <w:t>and</w:t>
      </w:r>
      <w:r>
        <w:rPr>
          <w:color w:val="64748A"/>
          <w:spacing w:val="-7"/>
          <w:w w:val="105"/>
          <w:sz w:val="15"/>
        </w:rPr>
        <w:t> </w:t>
      </w:r>
      <w:r>
        <w:rPr>
          <w:color w:val="64748A"/>
          <w:w w:val="105"/>
          <w:sz w:val="15"/>
        </w:rPr>
        <w:t>infrastructure</w:t>
      </w:r>
      <w:r>
        <w:rPr>
          <w:color w:val="64748A"/>
          <w:spacing w:val="-7"/>
          <w:w w:val="105"/>
          <w:sz w:val="15"/>
        </w:rPr>
        <w:t> </w:t>
      </w:r>
      <w:r>
        <w:rPr>
          <w:color w:val="64748A"/>
          <w:w w:val="105"/>
          <w:sz w:val="15"/>
        </w:rPr>
        <w:t>solutions</w:t>
      </w:r>
      <w:r>
        <w:rPr>
          <w:color w:val="64748A"/>
          <w:spacing w:val="-7"/>
          <w:w w:val="105"/>
          <w:sz w:val="15"/>
        </w:rPr>
        <w:t> </w:t>
      </w:r>
      <w:r>
        <w:rPr>
          <w:color w:val="64748A"/>
          <w:w w:val="105"/>
          <w:sz w:val="15"/>
        </w:rPr>
        <w:t>across</w:t>
      </w:r>
      <w:r>
        <w:rPr>
          <w:color w:val="64748A"/>
          <w:spacing w:val="-7"/>
          <w:w w:val="105"/>
          <w:sz w:val="15"/>
        </w:rPr>
        <w:t> </w:t>
      </w:r>
      <w:r>
        <w:rPr>
          <w:color w:val="64748A"/>
          <w:w w:val="105"/>
          <w:sz w:val="15"/>
        </w:rPr>
        <w:t>Nepal,</w:t>
      </w:r>
      <w:r>
        <w:rPr>
          <w:color w:val="64748A"/>
          <w:spacing w:val="-7"/>
          <w:w w:val="105"/>
          <w:sz w:val="15"/>
        </w:rPr>
        <w:t> </w:t>
      </w:r>
      <w:r>
        <w:rPr>
          <w:color w:val="64748A"/>
          <w:w w:val="105"/>
          <w:sz w:val="15"/>
        </w:rPr>
        <w:t>India,</w:t>
      </w:r>
      <w:r>
        <w:rPr>
          <w:color w:val="64748A"/>
          <w:spacing w:val="-7"/>
          <w:w w:val="105"/>
          <w:sz w:val="15"/>
        </w:rPr>
        <w:t> </w:t>
      </w:r>
      <w:r>
        <w:rPr>
          <w:color w:val="64748A"/>
          <w:w w:val="105"/>
          <w:sz w:val="15"/>
        </w:rPr>
        <w:t>and</w:t>
      </w:r>
      <w:r>
        <w:rPr>
          <w:color w:val="64748A"/>
          <w:spacing w:val="-7"/>
          <w:w w:val="105"/>
          <w:sz w:val="15"/>
        </w:rPr>
        <w:t> </w:t>
      </w:r>
      <w:r>
        <w:rPr>
          <w:color w:val="64748A"/>
          <w:w w:val="105"/>
          <w:sz w:val="15"/>
        </w:rPr>
        <w:t>the</w:t>
      </w:r>
      <w:r>
        <w:rPr>
          <w:color w:val="64748A"/>
          <w:spacing w:val="-7"/>
          <w:w w:val="105"/>
          <w:sz w:val="15"/>
        </w:rPr>
        <w:t> </w:t>
      </w:r>
      <w:r>
        <w:rPr>
          <w:color w:val="64748A"/>
          <w:w w:val="105"/>
          <w:sz w:val="15"/>
        </w:rPr>
        <w:t>USA.</w:t>
      </w:r>
      <w:r>
        <w:rPr>
          <w:color w:val="64748A"/>
          <w:spacing w:val="-7"/>
          <w:w w:val="105"/>
          <w:sz w:val="15"/>
        </w:rPr>
        <w:t> </w:t>
      </w:r>
      <w:r>
        <w:rPr>
          <w:color w:val="64748A"/>
          <w:w w:val="105"/>
          <w:sz w:val="15"/>
        </w:rPr>
        <w:t>No period of professional inactivity; all experience fully verifiable through client references and project documentation.</w:t>
      </w:r>
    </w:p>
    <w:sectPr>
      <w:pgSz w:w="11910" w:h="16840"/>
      <w:pgMar w:top="86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307" w:hanging="154"/>
      </w:pPr>
      <w:rPr>
        <w:rFonts w:hint="default" w:ascii="Arial" w:hAnsi="Arial" w:eastAsia="Arial" w:cs="Arial"/>
        <w:b w:val="0"/>
        <w:bCs w:val="0"/>
        <w:i w:val="0"/>
        <w:iCs w:val="0"/>
        <w:color w:val="1D283B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0" w:hanging="1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1" w:hanging="1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1" w:hanging="1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2" w:hanging="1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2" w:hanging="1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3" w:hanging="1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1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15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40" w:hanging="154"/>
      </w:pPr>
      <w:rPr>
        <w:rFonts w:hint="default" w:ascii="Arial" w:hAnsi="Arial" w:eastAsia="Arial" w:cs="Arial"/>
        <w:b w:val="0"/>
        <w:bCs w:val="0"/>
        <w:i w:val="0"/>
        <w:iCs w:val="0"/>
        <w:color w:val="1D283B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6" w:hanging="1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3" w:hanging="1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9" w:hanging="1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6" w:hanging="1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2" w:hanging="1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9" w:hanging="1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5" w:hanging="1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15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9"/>
      <w:ind w:left="440" w:hanging="160"/>
    </w:pPr>
    <w:rPr>
      <w:rFonts w:ascii="Arial" w:hAnsi="Arial" w:eastAsia="Arial" w:cs="Arial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0"/>
      <w:ind w:left="280"/>
      <w:outlineLvl w:val="2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440" w:hanging="1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5"/>
      <w:ind w:left="97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jeev.upadhyay@protonmail.com" TargetMode="External"/><Relationship Id="rId6" Type="http://schemas.openxmlformats.org/officeDocument/2006/relationships/hyperlink" Target="https://www.linkedin.com/in/rajeevrockstar/" TargetMode="External"/><Relationship Id="rId7" Type="http://schemas.openxmlformats.org/officeDocument/2006/relationships/hyperlink" Target="https://rajeevupadhyay.com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2026-06-02T11:23:35Z</dcterms:created>
  <dcterms:modified xsi:type="dcterms:W3CDTF">2026-06-02T11:23:35Z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2026-06-02T00:00:00Z</vt:filetime>
  </property>
  <property fmtid="{D5CDD505-2E9C-101B-9397-08002B2CF9AE}" pid="5" name="Producer">
    <vt:lpwstr>ReportLab PDF Library - www.reportlab.com</vt:lpwstr>
  </property>
</Properties>
</file>