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jc w:val="center"/>
      </w:pPr>
      <w:r>
        <w:t>云南城投</w:t>
      </w:r>
    </w:p>
    <w:p>
      <w:r>
        <w:t>01月05日云南城投股票异动解析</w:t>
        <w:br/>
        <w:t>中缅经济走廊+化债+房地产+养老  9.9%  600239</w:t>
        <w:br/>
        <w:t>1、2023年12月26日，皎漂经济特区深水港项目补充协议签约仪式在内比都举行，皎漂项目连接我国云南省和印度洋，是我国西南能源进口通道，预计每年对华输送天然气120亿立方米，输送石油2200万吨。</w:t>
        <w:br/>
        <w:t>2、云南康旅已通过引入央企资金+省内金融机构协调的方式提前债券兑付，为本地城投平台提供范式化债方案。</w:t>
        <w:br/>
        <w:t>3、公司依托省委省政府及控股股东的有力支持，可整合体系内物管、商管、文旅、康养等轻资产运营资源，具备实施向轻资产运营服务转型的先决条件；地产项目置出后，亦可通过市场化拓展轻资产运营相关业务。公司将锚定“发展成为城市综合服务运营商”的长期战略定位。</w:t>
        <w:br/>
        <w:t>4、公司拥有住宅综合体与旅游地产、养老地产的产业联动商业模式，旗下有大理英迪格和成都华尔道夫2家五星级酒店。</w:t>
        <w:br/>
        <w:br/>
        <w:t>房地产产业链；近期监管部门已向地方预下达了2024年提前批专项债额度，随同下达的还有提前批一般债额度。</w:t>
      </w:r>
    </w:p>
    <w:p>
      <w:r>
        <w:br w:type="page"/>
      </w:r>
    </w:p>
    <w:p>
      <w:pPr>
        <w:pStyle w:val="Heading2"/>
        <w:jc w:val="center"/>
      </w:pPr>
      <w:r>
        <w:t>银宝山新</w:t>
      </w:r>
    </w:p>
    <w:p>
      <w:r>
        <w:t>01月08日银宝山新股票异动解析</w:t>
        <w:br/>
        <w:t>机器人+华为+新能源汽车  10.02%  002786</w:t>
        <w:br/>
        <w:t>1、公司智能物联网机器人有送餐机器人、工业机器人等产品。</w:t>
        <w:br/>
        <w:t>2、2023年12月22日盘后公告，公司控股股东邦信资产通过公开征集一次性转让公司股权事项无应披露的进展情况，亦不存在处于筹划阶段的重大事项。本次转让截止日期2024年3月28日，若完成，公司控股股东及实控人将发生变更。公司实控人为中国东方资产管理公司，我国四大AMC之一。</w:t>
        <w:br/>
        <w:t>3、公司有生产航空模拟驾驶舱产品，营收占比较低。公司主要涉及半导体封装设备的精密部件与整机代工，服务对象是国际品牌。</w:t>
        <w:br/>
        <w:t>4、公司目前已经在为小康旗下高端新能车赛力斯供货模具结构件，产品核心客户包括比亚迪、华为、小米等知名企业。</w:t>
        <w:br/>
        <w:br/>
        <w:t>机器人；2024年1月8日盘前，斯坦福华人团队发布了新视频《Mobile ALOHA的一天》； 应急管理部和工信部发布《关于加快应急机器人发展的指导意见》，提出提升机器人智能化水平</w:t>
      </w:r>
    </w:p>
    <w:p>
      <w:r>
        <w:br w:type="page"/>
      </w:r>
    </w:p>
    <w:p>
      <w:pPr>
        <w:pStyle w:val="Heading2"/>
        <w:jc w:val="center"/>
      </w:pPr>
      <w:r>
        <w:t>科新发展</w:t>
      </w:r>
    </w:p>
    <w:p>
      <w:r>
        <w:t>01月08日科新发展股票异动解析</w:t>
        <w:br/>
        <w:t>城中村改造+房屋租赁+装修装饰+数字营销  10.03%  600234</w:t>
        <w:br/>
        <w:t>1、公司装饰业务占营收79%，建筑装修装饰工程业务通过控股公司提达装饰开展，提达装饰为深圳企业。</w:t>
        <w:br/>
        <w:t>2、2024年1月7日《关于金融支持住房租赁市场发展的意见》发布，重点支持自持物业的专业化、规模化住房租赁企业发展。公司主要业务包括房屋租赁业务、装饰装修工程业务。</w:t>
        <w:br/>
        <w:t>3、公司2023年10月底开始增加了数字营销业务，子公司陕西润庭广告拥有巨量引擎的综合代理商资格，业务是以巨量引擎等平台为基础，为众多广告主做数字营销服务。</w:t>
        <w:br/>
        <w:t>4、写字楼出租业务为公司对自有资产天龙大厦出租管理并取得租金、物业管理费收入。</w:t>
        <w:br/>
        <w:br/>
        <w:t>房地产产业链；2024年1月5日盘后讯，深圳拟出城中村改造新规，拟分三类改造城中村，涉全市约40%建面。 近期监管部门已向地方预下达了2024年提前批专项债额度，随同下达的还有提前批一般债额度。</w:t>
      </w:r>
    </w:p>
    <w:p>
      <w:r>
        <w:br w:type="page"/>
      </w:r>
    </w:p>
    <w:p>
      <w:pPr>
        <w:pStyle w:val="Heading2"/>
        <w:jc w:val="center"/>
      </w:pPr>
      <w:r>
        <w:t>德才股份</w:t>
      </w:r>
    </w:p>
    <w:p>
      <w:r>
        <w:t>01月08日德才股份股票异动解析</w:t>
        <w:br/>
        <w:t>老旧小区改造+光伏+建筑装饰  10.0%  605287</w:t>
        <w:br/>
        <w:t>1、公司拥有包括设计和总承包在内的覆盖老旧小区改造各个领域的全建筑产业链资质，能够独立承接老旧小区改造项目。2023年青岛计划实施城中村+城市更新项目85个，仅次于广州和济南，公司老旧小区改造类项目本地市占率可以达到20%左右。</w:t>
        <w:br/>
        <w:t>2、2021年度公司完成了第一个光伏发电的绿色生态环保项目“印象平度”的施工建设，该项目以产销建一体化的模式建设分布式光伏。2022年上半年公司承接了青岛奇瑞汽车产业园综合能源项目工程总承包项目。该项目计划建设12.5MWp光伏发电系统、储能系统等。</w:t>
        <w:br/>
        <w:t>3、公司主营业务为建筑装饰及房屋建筑工程的设计与施工，涵盖了建筑装饰工程、建筑幕墙工程、电子与智能化工程等领域的设计与施工。</w:t>
        <w:br/>
        <w:t>4、公司已形成了北京为新城建、上海为展览展陈与创意设计、深圳为城市及道路照明、重庆为古建筑的特色发展方向。</w:t>
        <w:br/>
        <w:br/>
        <w:t>房地产产业链；2024年1月5日盘后讯，深圳拟出城中村改造新规，拟分三类改造城中村，涉全市约40%建面。 近期监管部门已向地方预下达了2024年提前批专项债额度，随同下达的还有提前批一般债额度。</w:t>
      </w:r>
    </w:p>
    <w:sectPr w:rsidR="00FC693F" w:rsidRPr="0006063C" w:rsidSect="00034616">
      <w:pgSz w:w="8391" w:h="11906"/>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color w:val="000000"/>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