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34"/>
        </w:rPr>
        <w:t>Evaluation Design — Mid-Term Evaluation of Ghana's National Open Defecation Free (ODF) and Safely Managed Sanitation (SMS) Plan</w:t>
      </w:r>
    </w:p>
    <w:p>
      <w:r>
        <w:rPr>
          <w:i/>
          <w:sz w:val="21"/>
        </w:rPr>
        <w:t>Prepared by DC&amp;A Hub  |  Inception-stage evaluation design (first draft for expert review)</w:t>
      </w:r>
    </w:p>
    <w:p>
      <w:pPr>
        <w:spacing w:after="160"/>
        <w:ind w:left="216"/>
      </w:pPr>
      <w:r>
        <w:rPr>
          <w:b/>
          <w:sz w:val="19"/>
        </w:rPr>
        <w:t>Status note.</w:t>
      </w:r>
      <w:r>
        <w:rPr>
          <w:sz w:val="19"/>
        </w:rPr>
        <w:t xml:space="preserve"> This is a </w:t>
      </w:r>
      <w:r>
        <w:rPr>
          <w:b/>
          <w:sz w:val="19"/>
        </w:rPr>
        <w:t>first-draft evaluation design for expert and client review</w:t>
      </w:r>
      <w:r>
        <w:rPr>
          <w:sz w:val="19"/>
        </w:rPr>
        <w:t xml:space="preserve">. Choices marked </w:t>
      </w:r>
      <w:r>
        <w:rPr>
          <w:rFonts w:ascii="Consolas" w:hAnsi="Consolas"/>
          <w:color w:val="992D00"/>
          <w:sz w:val="19"/>
        </w:rPr>
        <w:t>[REVIEW]</w:t>
      </w:r>
      <w:r>
        <w:rPr>
          <w:sz w:val="19"/>
        </w:rPr>
        <w:t xml:space="preserve"> are inception-dependent and must be confirmed during the inception phase. Choices marked </w:t>
      </w:r>
      <w:r>
        <w:rPr>
          <w:rFonts w:ascii="Consolas" w:hAnsi="Consolas"/>
          <w:color w:val="992D00"/>
          <w:sz w:val="19"/>
        </w:rPr>
        <w:t>[ASSUMPTION]</w:t>
      </w:r>
      <w:r>
        <w:rPr>
          <w:sz w:val="19"/>
        </w:rPr>
        <w:t xml:space="preserve"> reflect inferences DC&amp;A Hub has made in the absence of a dedicated evaluation Terms of Reference (ToR). </w:t>
      </w:r>
      <w:r>
        <w:rPr>
          <w:b/>
          <w:sz w:val="19"/>
        </w:rPr>
        <w:t>No baseline figures, sample frames, or findings are asserted here</w:t>
      </w:r>
      <w:r>
        <w:rPr>
          <w:sz w:val="19"/>
        </w:rPr>
        <w:t xml:space="preserve"> — illustrative sample sizes are flagged </w:t>
      </w:r>
      <w:r>
        <w:rPr>
          <w:rFonts w:ascii="Consolas" w:hAnsi="Consolas"/>
          <w:color w:val="992D00"/>
          <w:sz w:val="19"/>
        </w:rPr>
        <w:t>[REVIEW]</w:t>
      </w:r>
      <w:r>
        <w:rPr>
          <w:sz w:val="19"/>
        </w:rPr>
        <w:t xml:space="preserve"> and exist only to size the effort.</w:t>
      </w:r>
    </w:p>
    <w:p>
      <w:pPr>
        <w:spacing w:after="160"/>
        <w:ind w:left="216"/>
      </w:pPr>
      <w:r>
        <w:rPr>
          <w:b/>
          <w:sz w:val="19"/>
        </w:rPr>
        <w:t>[ASSUMPTION] — Framing of this design.</w:t>
      </w:r>
      <w:r>
        <w:rPr>
          <w:sz w:val="19"/>
        </w:rPr>
        <w:t xml:space="preserve"> The available ToR (UNICEF) is a *framework-development* assignment, not a classic evaluation ToR. However, that ToR explicitly requires evaluation of the programme's outcomes and impact, plus Annual Joint Sector Reviews and Mid-Term and End-of-Term Reviews of the National ODF &amp; SMS Plan. Accordingly, DC&amp;A Hub has designed an </w:t>
      </w:r>
      <w:r>
        <w:rPr>
          <w:b/>
          <w:sz w:val="19"/>
        </w:rPr>
        <w:t>evaluation OF the National ODF &amp; SMS Plan</w:t>
      </w:r>
      <w:r>
        <w:rPr>
          <w:sz w:val="19"/>
        </w:rPr>
        <w:t xml:space="preserve"> (the Plan/programme is the evaluand), treated as a </w:t>
      </w:r>
      <w:r>
        <w:rPr>
          <w:b/>
          <w:sz w:val="19"/>
        </w:rPr>
        <w:t>mixed-methods Mid-Term Evaluation (MTE)</w:t>
      </w:r>
      <w:r>
        <w:rPr>
          <w:sz w:val="19"/>
        </w:rPr>
        <w:t xml:space="preserve">. The evaluation </w:t>
      </w:r>
      <w:r>
        <w:rPr>
          <w:b/>
          <w:sz w:val="19"/>
        </w:rPr>
        <w:t>purpose, type, scope, and timing should be confirmed against a dedicated evaluation ToR</w:t>
      </w:r>
      <w:r>
        <w:rPr>
          <w:sz w:val="19"/>
        </w:rPr>
        <w:t>.</w:t>
      </w:r>
    </w:p>
    <w:p/>
    <w:p>
      <w:pPr>
        <w:pStyle w:val="Heading1"/>
      </w:pPr>
      <w:r>
        <w:t>1. Understanding of the assignment</w:t>
      </w:r>
    </w:p>
    <w:p>
      <w:pPr>
        <w:pStyle w:val="Heading2"/>
      </w:pPr>
      <w:r>
        <w:t>1.1 The evaluand</w:t>
      </w:r>
    </w:p>
    <w:p>
      <w:pPr>
        <w:spacing w:after="120"/>
      </w:pPr>
      <w:r>
        <w:rPr>
          <w:i w:val="0"/>
          <w:sz w:val="21"/>
        </w:rPr>
        <w:t xml:space="preserve">We understand the evaluand to be </w:t>
      </w:r>
      <w:r>
        <w:rPr>
          <w:b/>
          <w:i w:val="0"/>
          <w:sz w:val="21"/>
        </w:rPr>
        <w:t>Ghana's National Open Defecation Free (ODF) and Safely Managed Sanitation (SMS) Plan</w:t>
      </w:r>
      <w:r>
        <w:rPr>
          <w:i w:val="0"/>
          <w:sz w:val="21"/>
        </w:rPr>
        <w:t xml:space="preserve"> — a long-term national sanitation programme comprising a perspective framework to 2057 and a detailed five-year implementation plan. The Plan is led by the </w:t>
      </w:r>
      <w:r>
        <w:rPr>
          <w:b/>
          <w:i w:val="0"/>
          <w:sz w:val="21"/>
        </w:rPr>
        <w:t>Ministry of Local Government, Chieftaincy and Religious Affairs (MLGCRA)</w:t>
      </w:r>
      <w:r>
        <w:rPr>
          <w:i w:val="0"/>
          <w:sz w:val="21"/>
        </w:rPr>
        <w:t xml:space="preserve">, working with the </w:t>
      </w:r>
      <w:r>
        <w:rPr>
          <w:b/>
          <w:i w:val="0"/>
          <w:sz w:val="21"/>
        </w:rPr>
        <w:t>National Development Planning Commission (NDPC)</w:t>
      </w:r>
      <w:r>
        <w:rPr>
          <w:i w:val="0"/>
          <w:sz w:val="21"/>
        </w:rPr>
        <w:t xml:space="preserve">, the </w:t>
      </w:r>
      <w:r>
        <w:rPr>
          <w:b/>
          <w:i w:val="0"/>
          <w:sz w:val="21"/>
        </w:rPr>
        <w:t>Office of the Head of the Local Government Service (OHLGS)</w:t>
      </w:r>
      <w:r>
        <w:rPr>
          <w:i w:val="0"/>
          <w:sz w:val="21"/>
        </w:rPr>
        <w:t xml:space="preserve"> and the </w:t>
      </w:r>
      <w:r>
        <w:rPr>
          <w:b/>
          <w:i w:val="0"/>
          <w:sz w:val="21"/>
        </w:rPr>
        <w:t>Ghana Statistical Service (GSS)</w:t>
      </w:r>
      <w:r>
        <w:rPr>
          <w:i w:val="0"/>
          <w:sz w:val="21"/>
        </w:rPr>
        <w:t xml:space="preserve">, with support from </w:t>
      </w:r>
      <w:r>
        <w:rPr>
          <w:b/>
          <w:i w:val="0"/>
          <w:sz w:val="21"/>
        </w:rPr>
        <w:t>UNICEF</w:t>
      </w:r>
      <w:r>
        <w:rPr>
          <w:i w:val="0"/>
          <w:sz w:val="21"/>
        </w:rPr>
        <w:t xml:space="preserve">, and forms part of the </w:t>
      </w:r>
      <w:r>
        <w:rPr>
          <w:b/>
          <w:i w:val="0"/>
          <w:sz w:val="21"/>
        </w:rPr>
        <w:t>African Sanitation Systems Strengthening Programme</w:t>
      </w:r>
      <w:r>
        <w:rPr>
          <w:i w:val="0"/>
          <w:sz w:val="21"/>
        </w:rPr>
        <w:t xml:space="preserve">. Progress is tracked through an upgraded </w:t>
      </w:r>
      <w:r>
        <w:rPr>
          <w:b/>
          <w:i w:val="0"/>
          <w:sz w:val="21"/>
        </w:rPr>
        <w:t>Basic Sanitation Information System (BaSIS)</w:t>
      </w:r>
      <w:r>
        <w:rPr>
          <w:i w:val="0"/>
          <w:sz w:val="21"/>
        </w:rPr>
        <w:t>.</w:t>
      </w:r>
    </w:p>
    <w:p>
      <w:pPr>
        <w:spacing w:after="120"/>
      </w:pPr>
      <w:r>
        <w:rPr>
          <w:i w:val="0"/>
          <w:sz w:val="21"/>
        </w:rPr>
        <w:t>The Plan's results logic spans two intertwined ambitions:</w:t>
      </w:r>
    </w:p>
    <w:p>
      <w:pPr>
        <w:pStyle w:val="ListBullet"/>
        <w:spacing w:after="40"/>
      </w:pPr>
      <w:r>
        <w:rPr>
          <w:b/>
        </w:rPr>
        <w:t>Sanitation service delivery</w:t>
      </w:r>
      <w:r>
        <w:t xml:space="preserve"> — moving households, institutions and public places along the full sanitation </w:t>
      </w:r>
      <w:r>
        <w:rPr>
          <w:b/>
        </w:rPr>
        <w:t>service chain</w:t>
      </w:r>
      <w:r>
        <w:t>: containment → transport (emptying) → treatment → reuse/safe disposal; and</w:t>
      </w:r>
    </w:p>
    <w:p>
      <w:pPr>
        <w:pStyle w:val="ListBullet"/>
        <w:spacing w:after="40"/>
      </w:pPr>
      <w:r>
        <w:rPr>
          <w:b/>
        </w:rPr>
        <w:t>Systems strengthening</w:t>
      </w:r>
      <w:r>
        <w:t xml:space="preserve"> — building the governance, financing, capacity, regulation, monitoring and behaviour-change “building blocks” that make service delivery durable.</w:t>
      </w:r>
    </w:p>
    <w:p>
      <w:pPr>
        <w:spacing w:after="120"/>
      </w:pPr>
      <w:r>
        <w:rPr>
          <w:i w:val="0"/>
          <w:sz w:val="21"/>
        </w:rPr>
        <w:t xml:space="preserve">The Plan articulates a results chain of </w:t>
      </w:r>
      <w:r>
        <w:rPr>
          <w:b/>
          <w:i w:val="0"/>
          <w:sz w:val="21"/>
        </w:rPr>
        <w:t>inputs → outputs → outcomes → impact</w:t>
      </w:r>
      <w:r>
        <w:rPr>
          <w:i w:val="0"/>
          <w:sz w:val="21"/>
        </w:rPr>
        <w:t xml:space="preserve"> and aligns with international monitoring frameworks: WHO/UNICEF JMP, GLAAS, WASSMO, NGOR, ASPAT and SMOSS.</w:t>
      </w:r>
    </w:p>
    <w:p>
      <w:pPr>
        <w:pStyle w:val="Heading2"/>
      </w:pPr>
      <w:r>
        <w:t>1.2 Purpose of the evaluation</w:t>
      </w:r>
    </w:p>
    <w:p>
      <w:pPr>
        <w:spacing w:after="120"/>
      </w:pPr>
      <w:r>
        <w:rPr>
          <w:i w:val="0"/>
          <w:sz w:val="21"/>
        </w:rPr>
        <w:t xml:space="preserve">We understand the MTE's purpose to be both </w:t>
      </w:r>
      <w:r>
        <w:rPr>
          <w:b/>
          <w:i w:val="0"/>
          <w:sz w:val="21"/>
        </w:rPr>
        <w:t>accountability</w:t>
      </w:r>
      <w:r>
        <w:rPr>
          <w:i w:val="0"/>
          <w:sz w:val="21"/>
        </w:rPr>
        <w:t xml:space="preserve"> (an independent assessment of whether the Plan is on track to deliver its intended ODF and safely-managed-sanitation outcomes and impact) and </w:t>
      </w:r>
      <w:r>
        <w:rPr>
          <w:b/>
          <w:i w:val="0"/>
          <w:sz w:val="21"/>
        </w:rPr>
        <w:t>learning</w:t>
      </w:r>
      <w:r>
        <w:rPr>
          <w:i w:val="0"/>
          <w:sz w:val="21"/>
        </w:rPr>
        <w:t xml:space="preserve"> (actionable, mid-course recommendations to strengthen implementation, systems and equity for the remainder of the implementation period). </w:t>
      </w:r>
      <w:r>
        <w:rPr>
          <w:rFonts w:ascii="Consolas" w:hAnsi="Consolas"/>
          <w:i w:val="0"/>
          <w:color w:val="992D00"/>
          <w:sz w:val="21"/>
        </w:rPr>
        <w:t>[REVIEW]</w:t>
      </w:r>
      <w:r>
        <w:rPr>
          <w:i w:val="0"/>
          <w:sz w:val="21"/>
        </w:rPr>
        <w:t xml:space="preserve"> The relative weight of accountability vs learning should be confirmed.</w:t>
      </w:r>
    </w:p>
    <w:p>
      <w:pPr>
        <w:pStyle w:val="Heading2"/>
      </w:pPr>
      <w:r>
        <w:t>1.3 Intended users</w:t>
      </w:r>
    </w:p>
    <w:p>
      <w:pPr>
        <w:pStyle w:val="ListBullet"/>
        <w:spacing w:after="40"/>
      </w:pPr>
      <w:r>
        <w:rPr>
          <w:b/>
        </w:rPr>
        <w:t>UNICEF</w:t>
      </w:r>
      <w:r>
        <w:t xml:space="preserve"> — programme support, accountability to donors, course correction.</w:t>
      </w:r>
    </w:p>
    <w:p>
      <w:pPr>
        <w:pStyle w:val="ListBullet"/>
        <w:spacing w:after="40"/>
      </w:pPr>
      <w:r>
        <w:rPr>
          <w:b/>
        </w:rPr>
        <w:t>MLGCRA</w:t>
      </w:r>
      <w:r>
        <w:t xml:space="preserve"> — programme owner; uses findings to steer national implementation.</w:t>
      </w:r>
    </w:p>
    <w:p>
      <w:pPr>
        <w:pStyle w:val="ListBullet"/>
        <w:spacing w:after="40"/>
      </w:pPr>
      <w:r>
        <w:rPr>
          <w:b/>
        </w:rPr>
        <w:t>NDPC, OHLGS, GSS</w:t>
      </w:r>
      <w:r>
        <w:t xml:space="preserve"> — planning, local-government capacity, and the statistical/M&amp;E system (BaSIS).</w:t>
      </w:r>
    </w:p>
    <w:p>
      <w:pPr>
        <w:pStyle w:val="ListBullet"/>
        <w:spacing w:after="40"/>
      </w:pPr>
      <w:r>
        <w:rPr>
          <w:b/>
        </w:rPr>
        <w:t>Sector stakeholders</w:t>
      </w:r>
      <w:r>
        <w:t xml:space="preserve"> — regional coordinating councils, MMDAs, Environmental Health and Sanitation Directorates/Units, development partners, CSOs/NGOs, private sanitation-service providers, and communities.</w:t>
      </w:r>
    </w:p>
    <w:p>
      <w:pPr>
        <w:pStyle w:val="Heading2"/>
      </w:pPr>
      <w:r>
        <w:t>1.4 Type, scope and components</w:t>
      </w:r>
    </w:p>
    <w:p>
      <w:pPr>
        <w:pStyle w:val="ListBullet"/>
        <w:spacing w:after="40"/>
      </w:pPr>
      <w:r>
        <w:rPr>
          <w:b/>
        </w:rPr>
        <w:t>Type.</w:t>
      </w:r>
      <w:r>
        <w:t xml:space="preserve"> </w:t>
      </w:r>
      <w:r>
        <w:rPr>
          <w:rFonts w:ascii="Consolas" w:hAnsi="Consolas"/>
          <w:color w:val="992D00"/>
          <w:sz w:val="19"/>
        </w:rPr>
        <w:t>[ASSUMPTION]</w:t>
      </w:r>
      <w:r>
        <w:t xml:space="preserve"> Mixed-methods, </w:t>
      </w:r>
      <w:r>
        <w:rPr>
          <w:b/>
        </w:rPr>
        <w:t>theory-based, participatory Mid-Term Evaluation</w:t>
      </w:r>
      <w:r>
        <w:t xml:space="preserve"> — primarily </w:t>
      </w:r>
      <w:r>
        <w:rPr>
          <w:b/>
        </w:rPr>
        <w:t>formative</w:t>
      </w:r>
      <w:r>
        <w:t xml:space="preserve"> (improvement-oriented) with summative elements on progress to date.</w:t>
      </w:r>
    </w:p>
    <w:p>
      <w:pPr>
        <w:pStyle w:val="ListBullet"/>
        <w:spacing w:after="40"/>
      </w:pPr>
      <w:r>
        <w:rPr>
          <w:b/>
        </w:rPr>
        <w:t>Geographic scope.</w:t>
      </w:r>
      <w:r>
        <w:t xml:space="preserve"> </w:t>
      </w:r>
      <w:r>
        <w:rPr>
          <w:b/>
        </w:rPr>
        <w:t>National, regional, and district (MMDA) levels</w:t>
      </w:r>
      <w:r>
        <w:t xml:space="preserve">, recognising that implementation happens at district level; fieldwork reaches communities including </w:t>
      </w:r>
      <w:r>
        <w:rPr>
          <w:b/>
        </w:rPr>
        <w:t>urban, rural, slums/informal settlements, and institutions/public places</w:t>
      </w:r>
      <w:r>
        <w:t>.</w:t>
      </w:r>
    </w:p>
    <w:p>
      <w:pPr>
        <w:pStyle w:val="ListBullet"/>
        <w:spacing w:after="40"/>
      </w:pPr>
      <w:r>
        <w:rPr>
          <w:b/>
        </w:rPr>
        <w:t>Time period.</w:t>
      </w:r>
      <w:r>
        <w:t xml:space="preserve"> From the Plan's implementation start to the mid-term point. </w:t>
      </w:r>
      <w:r>
        <w:rPr>
          <w:rFonts w:ascii="Consolas" w:hAnsi="Consolas"/>
          <w:color w:val="992D00"/>
          <w:sz w:val="19"/>
        </w:rPr>
        <w:t>[REVIEW]</w:t>
      </w:r>
      <w:r>
        <w:t xml:space="preserve"> Exact start date and MTE cut-off to be confirmed against Plan documents.</w:t>
      </w:r>
    </w:p>
    <w:p>
      <w:pPr>
        <w:pStyle w:val="ListBullet"/>
        <w:spacing w:after="40"/>
      </w:pPr>
      <w:r>
        <w:rPr>
          <w:b/>
        </w:rPr>
        <w:t>Components covered.</w:t>
      </w:r>
      <w:r>
        <w:t xml:space="preserve"> Both the </w:t>
      </w:r>
      <w:r>
        <w:rPr>
          <w:b/>
        </w:rPr>
        <w:t>service-delivery</w:t>
      </w:r>
      <w:r>
        <w:t xml:space="preserve"> strand (full service chain) and the </w:t>
      </w:r>
      <w:r>
        <w:rPr>
          <w:b/>
        </w:rPr>
        <w:t>systems-strengthening</w:t>
      </w:r>
      <w:r>
        <w:t xml:space="preserve"> strand (governance, financing, capacity, regulation, BaSIS/monitoring, behaviour change/demand creation).</w:t>
      </w:r>
    </w:p>
    <w:p>
      <w:pPr>
        <w:pStyle w:val="ListBullet"/>
        <w:spacing w:after="40"/>
      </w:pPr>
      <w:r>
        <w:rPr>
          <w:b/>
        </w:rPr>
        <w:t>Criteria.</w:t>
      </w:r>
      <w:r>
        <w:t xml:space="preserve"> All six OECD-DAC criteria (relevance, coherence, effectiveness, efficiency, impact, sustainability) plus a </w:t>
      </w:r>
      <w:r>
        <w:rPr>
          <w:b/>
        </w:rPr>
        <w:t>GESI/equity</w:t>
      </w:r>
      <w:r>
        <w:t xml:space="preserve"> cross-cutting lens.</w:t>
      </w:r>
    </w:p>
    <w:p>
      <w:pPr>
        <w:pStyle w:val="ListBullet"/>
        <w:spacing w:after="40"/>
      </w:pPr>
      <w:r>
        <w:rPr>
          <w:b/>
        </w:rPr>
        <w:t>Exclusions.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 xml:space="preserve"> Any geographies, time periods or components to be excluded should be confirmed.</w:t>
      </w:r>
    </w:p>
    <w:p>
      <w:pPr>
        <w:pStyle w:val="Heading1"/>
      </w:pPr>
      <w:r>
        <w:t>2. Evaluation questions</w:t>
      </w:r>
    </w:p>
    <w:p>
      <w:pPr>
        <w:spacing w:after="120"/>
      </w:pPr>
      <w:r>
        <w:rPr>
          <w:i w:val="0"/>
          <w:sz w:val="21"/>
        </w:rPr>
        <w:t xml:space="preserve">Questions are organised by OECD-DAC criterion plus GESI/equity, and grounded in the Plan's results chain (inputs→outputs→outcomes→impact) and sanitation service chain (containment→transport→treatment→reuse/disposal). All questions are inferred from the framework ToR's stated review/evaluation needs and so carry </w:t>
      </w:r>
      <w:r>
        <w:rPr>
          <w:rFonts w:ascii="Consolas" w:hAnsi="Consolas"/>
          <w:i w:val="0"/>
          <w:color w:val="992D00"/>
          <w:sz w:val="21"/>
        </w:rPr>
        <w:t>[REVIEW]</w:t>
      </w:r>
      <w:r>
        <w:rPr>
          <w:i w:val="0"/>
          <w:sz w:val="21"/>
        </w:rPr>
        <w:t>, to be confirmed against a dedicated evaluation ToR at inception.</w:t>
      </w:r>
    </w:p>
    <w:p>
      <w:pPr>
        <w:pStyle w:val="Heading3"/>
      </w:pPr>
      <w:r>
        <w:t>Relevance</w:t>
      </w:r>
    </w:p>
    <w:p>
      <w:pPr>
        <w:pStyle w:val="ListBullet"/>
        <w:spacing w:after="40"/>
      </w:pPr>
      <w:r>
        <w:rPr>
          <w:b/>
        </w:rPr>
        <w:t>EQ1.</w:t>
      </w:r>
      <w:r>
        <w:t xml:space="preserve"> To what extent does the National ODF &amp; SMS Plan respond to Ghana's sanitation needs and to national and sub-national priorities, including underserved urban, rural, slum/informal-settlement, and institutional populations?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EQ1.1 How well are the Plan's design and targets aligned with JMP/SDG 6.2 definitions of ODF and safely managed sanitation?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EQ1.2 Does the Plan's design remain relevant given changes in context (demographic, urbanisation, climate, fiscal, institutional) since approval?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Heading3"/>
      </w:pPr>
      <w:r>
        <w:t>Coherence</w:t>
      </w:r>
    </w:p>
    <w:p>
      <w:pPr>
        <w:pStyle w:val="ListBullet"/>
        <w:spacing w:after="40"/>
      </w:pPr>
      <w:r>
        <w:rPr>
          <w:b/>
        </w:rPr>
        <w:t>EQ2.</w:t>
      </w:r>
      <w:r>
        <w:t xml:space="preserve"> How coherent is the Plan internally (across service-delivery and systems-strengthening strands and across national/regional/district levels) and externally (with other WASH/development interventions, partners, and frameworks such as JMP, GLAAS, WASSMO, NGOR, ASPAT, SMOSS)?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EQ2.1 How well are mandates and roles harmonised across MLGCRA, NDPC, OHLGS, GSS, UNICEF, MMDAs and partners (avoiding duplication/gaps)?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Heading3"/>
      </w:pPr>
      <w:r>
        <w:t>Effectiveness</w:t>
      </w:r>
    </w:p>
    <w:p>
      <w:pPr>
        <w:pStyle w:val="ListBullet"/>
        <w:spacing w:after="40"/>
      </w:pPr>
      <w:r>
        <w:rPr>
          <w:b/>
        </w:rPr>
        <w:t>EQ3.</w:t>
      </w:r>
      <w:r>
        <w:t xml:space="preserve"> To what extent is the Plan achieving its intended outputs and outcomes along the sanitation service chain (containment, transport/emptying, treatment, reuse/safe disposal) at national, regional and district levels?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EQ3.1 What progress has been made toward ODF status and safely managed sanitation against targets and milestones (where data exist)?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EQ3.2 How effective have systems-strengthening efforts been (governance, regulation, capacity, financing, behaviour-change/demand creation, BaSIS)?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EQ3.3 What is the Plan's </w:t>
      </w:r>
      <w:r>
        <w:rPr>
          <w:b/>
        </w:rPr>
        <w:t>programme maturity</w:t>
      </w:r>
      <w:r>
        <w:t xml:space="preserve"> on a scaling continuum, and what factors enable or constrain scale-up?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EQ3.4 What unintended effects (positive or negative) have emerged?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Heading3"/>
      </w:pPr>
      <w:r>
        <w:t>Efficiency</w:t>
      </w:r>
    </w:p>
    <w:p>
      <w:pPr>
        <w:pStyle w:val="ListBullet"/>
        <w:spacing w:after="40"/>
      </w:pPr>
      <w:r>
        <w:rPr>
          <w:b/>
        </w:rPr>
        <w:t>EQ4.</w:t>
      </w:r>
      <w:r>
        <w:t xml:space="preserve"> How efficiently are inputs (financial, human, institutional, time) being converted into outputs and outcomes, and does the Plan represent value for money?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EQ4.1 Are implementation processes, coordination and disbursement timely and cost-conscious relative to plans?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EQ4.2 How well does BaSIS/the M&amp;E system support efficient, evidence-based management, and what is the quality of its data (Data Quality Assessment)?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Heading3"/>
      </w:pPr>
      <w:r>
        <w:t>Impact</w:t>
      </w:r>
    </w:p>
    <w:p>
      <w:pPr>
        <w:pStyle w:val="ListBullet"/>
        <w:spacing w:after="40"/>
      </w:pPr>
      <w:r>
        <w:rPr>
          <w:b/>
        </w:rPr>
        <w:t>EQ5.</w:t>
      </w:r>
      <w:r>
        <w:t xml:space="preserve"> What difference is the Plan making (or credibly likely to make) to sanitation outcomes and higher-level goals (health, dignity, environment, equity), and how robust is the contribution story given attribution challenges?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EQ5.1 How are benefits and any harms distributed across population groups and geographies (urban/rural, slums/informal settlements, institutions/public places)?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Heading3"/>
      </w:pPr>
      <w:r>
        <w:t>Sustainability</w:t>
      </w:r>
    </w:p>
    <w:p>
      <w:pPr>
        <w:pStyle w:val="ListBullet"/>
        <w:spacing w:after="40"/>
      </w:pPr>
      <w:r>
        <w:rPr>
          <w:b/>
        </w:rPr>
        <w:t>EQ6.</w:t>
      </w:r>
      <w:r>
        <w:t xml:space="preserve"> How likely are the Plan's results and underpinning systems to be sustained beyond current support (financing, capacity, regulation, ownership, behaviour, O&amp;M of the service chain)?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EQ6.1 What is the durability of ODF status and safely managed services (e.g. slippage, emptying/treatment continuity)?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Heading3"/>
      </w:pPr>
      <w:r>
        <w:t>GESI / equity (cross-cutting)</w:t>
      </w:r>
    </w:p>
    <w:p>
      <w:pPr>
        <w:pStyle w:val="ListBullet"/>
        <w:spacing w:after="40"/>
      </w:pPr>
      <w:r>
        <w:rPr>
          <w:b/>
        </w:rPr>
        <w:t>EQ7.</w:t>
      </w:r>
      <w:r>
        <w:t xml:space="preserve"> To what extent does the Plan advance gender equality, social inclusion and equity — in design, implementation, results tracking and benefit distribution — for women, children, persons with disabilities, the poorest, and residents of slums/informal settlements?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ListBullet2"/>
        <w:spacing w:after="40"/>
      </w:pPr>
      <w:r>
        <w:t xml:space="preserve">EQ7.1 Are results disaggregated and acted upon (sex, disability, age, location, wealth) within BaSIS and Plan reporting? </w:t>
      </w:r>
      <w:r>
        <w:rPr>
          <w:rFonts w:ascii="Consolas" w:hAnsi="Consolas"/>
          <w:color w:val="992D00"/>
          <w:sz w:val="19"/>
        </w:rPr>
        <w:t>[REVIEW]</w:t>
      </w:r>
    </w:p>
    <w:p>
      <w:pPr>
        <w:pStyle w:val="Heading1"/>
      </w:pPr>
      <w:r>
        <w:t>3. Evaluation matrix</w:t>
      </w:r>
    </w:p>
    <w:p>
      <w:pPr>
        <w:spacing w:after="120"/>
      </w:pPr>
      <w:r>
        <w:rPr>
          <w:i w:val="0"/>
          <w:sz w:val="21"/>
        </w:rPr>
        <w:t>Every (sub-)question has at least one data source, at least one method, and an analysis approach; most triangulate ≥2 sources/methods. Columns follow the DC&amp;A Hub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43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Evaluation question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OECD-DAC criterion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Judgement criteria / indicators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Data sources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Data-collection methods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Analysis approach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EQ1 / EQ1.1 / EQ1.2 — Relevance to needs &amp; priorities; alignment to JMP/SDG 6.2; continued relevance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Relevance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Alignment of objectives/targets with documented needs, national/sub-national priorities, and JMP/SDG 6.2 ODF &amp; SMS definitions; reflection of underserved groups; responsiveness to context change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Plan &amp; perspective-framework documents; national policies; JMP/GLAAS/SDG frameworks; needs assessments; MLGCRA/NDPC/UNICEF officials; community members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Document/secondary review; KIIs (national &amp; regional); FGDs (communities incl. slums/informal settlements)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Framework analysis against relevance criteria; document–KII–FGD triangulation; gap analysis vs JMP/SDG definitions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EQ2 / EQ2.1 — Internal &amp; external coherence; harmonised mandates/roles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Coherence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Consistency across strands and levels; complementarity (not duplication/gaps) with other efforts; role clarity; alignment with JMP/GLAAS/WASSMO/NGOR/ASPAT/SMOSS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Plan &amp; coordination documents; partner programme docs; MoUs/role matrices; coordination minutes; KIIs (MLGCRA, NDPC, OHLGS, GSS, UNICEF, MMDAs, partners)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Document/secondary review; KIIs; (optional) stakeholder/actor mapping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Institutional/stakeholder mapping; thematic analysis of role clarity &amp; complementarity; triangulation of documents vs KII accounts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EQ3 / EQ3.1 — Progress on outputs &amp; outcomes along the service chain; progress to ODF &amp; SMS targets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Effectiveness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Outputs/outcomes vs Plan targets/milestones (where data exist) at each service-chain stage; ODF coverage trends; SMS coverage trends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BaSIS data &amp; dashboards; results framework/targets; sector &amp; JSR reports; MMDA records; survey of households/institutions; KIIs; site observation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Document/BaSIS secondary review; structured survey; KIIs; site observation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Quantitative descriptive &amp; disaggregated analysis vs targets/baseline where available; triangulation with qualitative &amp; observation per service-chain stage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EQ3.2 — Effectiveness of systems strengthening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Effectiveness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Functionality gains in governance, regulation/standards, capacity, financing mechanisms, behaviour-change/demand creation, and BaSIS; building-block maturity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Systems/building-block documents; capacity-assessment &amp; training records; BaSIS; KIIs (national, regional, MMDA, partners)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Document/secondary review; KIIs; (optional) self-assessment scoring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Building-block/maturity scoring; thematic analysis; triangulation across institutional levels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EQ3.3 — Programme maturity &amp; scaling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Effectiveness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Position on a scaling continuum; strength of enabling factors for scale (leadership, financing, M&amp;E, capacity, demand); bottlenecks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Plan &amp; scaling/maturity frameworks (e.g. ASPAT-type); KIIs; sector reviews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 review; KIIs; participatory maturity-scoring workshop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Maturity/scaling-continuum assessment; thematic synthesis of enablers/constraints; participatory validation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EQ3.4 — Unintended effects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Effectiveness / Impact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Identified unplanned positive/negative effects (equity, market, environmental) and their plausibility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KIIs; FGDs; observation; outcome-harvesting accounts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KIIs; FGDs; observation; outcome harvesting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Thematic analysis; outcome-harvesting substantiation; triangulation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EQ4 / EQ4.1 — Efficiency &amp; value for money; timeliness of processes/disbursement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Efficiency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Input-to-output conversion; timeliness vs work plans; unit-cost/VfM indications (economy, efficiency); coordination/disbursement bottlenecks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Budgets/expenditure &amp; financial reports; work plans vs actuals; KIIs (finance/programme); BaSIS milestones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Document/secondary financial review; KIIs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Budget-vs-actual &amp; timeline analysis; VfM lens (economy/efficiency, qualitative where unit costs unavailable); triangulation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EQ4.2 — M&amp;E/BaSIS quality &amp; use (Data Quality Assessment)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Efficiency / Effectiveness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Completeness, timeliness, consistency, accuracy of BaSIS data; extent data drive decisions; DQA findings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BaSIS metadata &amp; records; M&amp;E SOPs; KIIs (GSS, M&amp;E focal persons, MMDAs); spot data-verification at source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DQA (record-to-report verification); document review; KIIs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DQA scoring (data-quality dimensions); verification-ratio checks; thematic analysis of data use; triangulation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EQ5 / EQ5.1 — Impact &amp; distribution of effects; contribution under attribution challenge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Impact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Plausible contribution to ODF/SMS outcomes and higher-level goals (health, dignity, environment); distribution of benefits/harms across groups &amp; geographies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BaSIS &amp; outcome data; survey; FGDs; KIIs; theory of change; secondary health/environment data where available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Structured survey; FGDs; KIIs; document/secondary review; outcome harvesting / contribution analysis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Contribution analysis against the theory of change; disaggregated quantitative analysis; thematic analysis of mechanisms; triangulation (contribution, not attribution)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EQ6 / EQ6.1 — Sustainability of results &amp; systems; durability of ODF/SMS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Sustainability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Likelihood benefits persist (financing continuity, capacity, regulation, ownership, behaviour, O&amp;M of emptying/treatment); ODF slippage risk; service-chain continuity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Plan sustainability/financing strategy; KIIs (national, MMDA, providers); FGDs; observation; BaSIS slippage indicators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 review; KIIs; FGDs; site observation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Sustainability-factor (capacity/financing/ownership) analysis; slippage trend review; triangulation of risk evidence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EQ7 / EQ7.1 — GESI &amp; equity in design, delivery, tracking, benefits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GESI / Equity (cross-cutting)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Gender-responsive &amp; inclusive design; inclusive participation; disaggregated tracking in BaSIS/reporting and its use; equity of benefit distribution for women, children, persons with disabilities, poorest, slum/informal-settlement residents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Plan &amp; GESI documents; BaSIS disaggregation; sex/disability-disaggregated survey; FGDs (women, persons with disabilities, slum/informal-settlement residents); KIIs (gender/social-inclusion focal persons)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Document/secondary review; disaggregated survey; FGDs (separate groups as needed); KIIs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Disaggregated quantitative analysis (sex, disability, age, location, wealth); equity-focused framework analysis; triangulation across groups</w:t>
            </w:r>
          </w:p>
        </w:tc>
      </w:tr>
    </w:tbl>
    <w:p>
      <w:pPr>
        <w:pStyle w:val="Heading1"/>
      </w:pPr>
      <w:r>
        <w:t>4. Evaluation approach &amp; design</w:t>
      </w:r>
    </w:p>
    <w:p>
      <w:pPr>
        <w:spacing w:after="120"/>
      </w:pPr>
      <w:r>
        <w:rPr>
          <w:i w:val="0"/>
          <w:sz w:val="21"/>
        </w:rPr>
        <w:t xml:space="preserve">DC&amp;A Hub proposes a </w:t>
      </w:r>
      <w:r>
        <w:rPr>
          <w:b/>
          <w:i w:val="0"/>
          <w:sz w:val="21"/>
        </w:rPr>
        <w:t>theory-based, mixed-methods, participatory</w:t>
      </w:r>
      <w:r>
        <w:rPr>
          <w:i w:val="0"/>
          <w:sz w:val="21"/>
        </w:rPr>
        <w:t xml:space="preserve"> design applied through a </w:t>
      </w:r>
      <w:r>
        <w:rPr>
          <w:b/>
          <w:i w:val="0"/>
          <w:sz w:val="21"/>
        </w:rPr>
        <w:t>GESI/equity lens</w:t>
      </w:r>
      <w:r>
        <w:rPr>
          <w:i w:val="0"/>
          <w:sz w:val="21"/>
        </w:rPr>
        <w:t>, consistent with the Plan's stated results chain and with our house practice of evidence-led, collaborative learning.</w:t>
      </w:r>
    </w:p>
    <w:p>
      <w:pPr>
        <w:pStyle w:val="ListBullet"/>
        <w:spacing w:after="40"/>
      </w:pPr>
      <w:r>
        <w:rPr>
          <w:b/>
        </w:rPr>
        <w:t>Theory-based.</w:t>
      </w:r>
      <w:r>
        <w:t xml:space="preserve"> We reconstruct/validate the Plan's </w:t>
      </w:r>
      <w:r>
        <w:rPr>
          <w:b/>
        </w:rPr>
        <w:t>theory of change and results chain</w:t>
      </w:r>
      <w:r>
        <w:t xml:space="preserve"> (inputs→outputs→outcomes→impact) and the </w:t>
      </w:r>
      <w:r>
        <w:rPr>
          <w:b/>
        </w:rPr>
        <w:t>sanitation service chain</w:t>
      </w:r>
      <w:r>
        <w:t xml:space="preserve"> (containment→transport→treatment→reuse/disposal), then test where the causal logic holds, weakens or breaks. Because the Plan operates in a crowded sector, we use </w:t>
      </w:r>
      <w:r>
        <w:rPr>
          <w:b/>
        </w:rPr>
        <w:t>contribution analysis</w:t>
      </w:r>
      <w:r>
        <w:t xml:space="preserve"> (EQ5) to make a credible contribution claim rather than over-reaching on attribution.</w:t>
      </w:r>
    </w:p>
    <w:p>
      <w:pPr>
        <w:pStyle w:val="ListBullet"/>
        <w:spacing w:after="40"/>
      </w:pPr>
      <w:r>
        <w:rPr>
          <w:b/>
        </w:rPr>
        <w:t>Mixed-methods (default).</w:t>
      </w:r>
      <w:r>
        <w:t xml:space="preserve"> Quantitative breadth (BaSIS secondary data + a structured survey) is combined with qualitative depth (KIIs, FGDs, observation, selective outcome harvesting) so each question is answered from more than one angle.</w:t>
      </w:r>
    </w:p>
    <w:p>
      <w:pPr>
        <w:pStyle w:val="ListBullet"/>
        <w:spacing w:after="40"/>
      </w:pPr>
      <w:r>
        <w:rPr>
          <w:b/>
        </w:rPr>
        <w:t>Participatory.</w:t>
      </w:r>
      <w:r>
        <w:t xml:space="preserve"> Stakeholders co-shape the work: an </w:t>
      </w:r>
      <w:r>
        <w:rPr>
          <w:b/>
        </w:rPr>
        <w:t>inception/kickoff meeting</w:t>
      </w:r>
      <w:r>
        <w:t xml:space="preserve">, </w:t>
      </w:r>
      <w:r>
        <w:rPr>
          <w:b/>
        </w:rPr>
        <w:t>participatory maturity/scaling scoring</w:t>
      </w:r>
      <w:r>
        <w:t xml:space="preserve"> with sector actors (EQ3.3), and a </w:t>
      </w:r>
      <w:r>
        <w:rPr>
          <w:b/>
        </w:rPr>
        <w:t>multi-stakeholder validation workshop</w:t>
      </w:r>
      <w:r>
        <w:t xml:space="preserve"> to co-create recommendations — adaptive, collaborative learning rather than a detached audit.</w:t>
      </w:r>
    </w:p>
    <w:p>
      <w:pPr>
        <w:pStyle w:val="ListBullet"/>
        <w:spacing w:after="40"/>
      </w:pPr>
      <w:r>
        <w:rPr>
          <w:b/>
        </w:rPr>
        <w:t>Anchored in BaSIS.</w:t>
      </w:r>
      <w:r>
        <w:t xml:space="preserve"> BaSIS is both a </w:t>
      </w:r>
      <w:r>
        <w:rPr>
          <w:b/>
        </w:rPr>
        <w:t>data source</w:t>
      </w:r>
      <w:r>
        <w:t xml:space="preserve"> (progress, coverage, disaggregation) and an </w:t>
      </w:r>
      <w:r>
        <w:rPr>
          <w:b/>
        </w:rPr>
        <w:t>object of evaluation</w:t>
      </w:r>
      <w:r>
        <w:t xml:space="preserve"> (its data quality and use, via a DQA under EQ4.2). BaSIS outputs are not treated as ground truth without source verification.</w:t>
      </w:r>
    </w:p>
    <w:p>
      <w:pPr>
        <w:pStyle w:val="ListBullet"/>
        <w:spacing w:after="40"/>
      </w:pPr>
      <w:r>
        <w:rPr>
          <w:b/>
        </w:rPr>
        <w:t>GESI lens throughout.</w:t>
      </w:r>
      <w:r>
        <w:t xml:space="preserve"> Disaggregation, inclusive methods, and explicit attention to marginalised groups are built into sampling, tools and analysis — not bolted on.</w:t>
      </w:r>
    </w:p>
    <w:p>
      <w:pPr>
        <w:pStyle w:val="ListBullet"/>
        <w:spacing w:after="40"/>
      </w:pPr>
      <w:r>
        <w:rPr>
          <w:b/>
        </w:rPr>
        <w:t>Multi-level.</w:t>
      </w:r>
      <w:r>
        <w:t xml:space="preserve"> Evidence is gathered at </w:t>
      </w:r>
      <w:r>
        <w:rPr>
          <w:b/>
        </w:rPr>
        <w:t>national, regional and district (MMDA)</w:t>
      </w:r>
      <w:r>
        <w:t xml:space="preserve"> levels and in </w:t>
      </w:r>
      <w:r>
        <w:rPr>
          <w:b/>
        </w:rPr>
        <w:t>communities</w:t>
      </w:r>
      <w:r>
        <w:t>, mirroring where implementation actually happens.</w:t>
      </w:r>
    </w:p>
    <w:p>
      <w:pPr>
        <w:pStyle w:val="Heading1"/>
      </w:pPr>
      <w:r>
        <w:t>5. Sampling strategy</w:t>
      </w:r>
    </w:p>
    <w:p>
      <w:pPr>
        <w:spacing w:after="120"/>
      </w:pPr>
      <w:r>
        <w:rPr>
          <w:i w:val="0"/>
          <w:sz w:val="21"/>
        </w:rPr>
        <w:t xml:space="preserve">A </w:t>
      </w:r>
      <w:r>
        <w:rPr>
          <w:b/>
          <w:i w:val="0"/>
          <w:sz w:val="21"/>
        </w:rPr>
        <w:t>multi-stage</w:t>
      </w:r>
      <w:r>
        <w:rPr>
          <w:i w:val="0"/>
          <w:sz w:val="21"/>
        </w:rPr>
        <w:t xml:space="preserve"> strategy combines purposive selection for qualitative depth with a structured (probability-based where feasible) survey for quantitative breadth. </w:t>
      </w:r>
      <w:r>
        <w:rPr>
          <w:b/>
          <w:i w:val="0"/>
          <w:sz w:val="21"/>
        </w:rPr>
        <w:t>All figures below are illustrative `[REVIEW]` placeholders to size the effort; the real sample frame, population parameters and final numbers are unknown to DC&amp;A Hub and must be set at inception</w:t>
      </w:r>
      <w:r>
        <w:rPr>
          <w:i w:val="0"/>
          <w:sz w:val="21"/>
        </w:rPr>
        <w:t xml:space="preserve"> using BaSIS and GSS frames, the desired precision, and the budget.</w:t>
      </w:r>
    </w:p>
    <w:p>
      <w:pPr>
        <w:pStyle w:val="Heading3"/>
      </w:pPr>
      <w:r>
        <w:t>5.1 Stages</w:t>
      </w:r>
    </w:p>
    <w:p>
      <w:pPr>
        <w:pStyle w:val="ListBullet"/>
        <w:spacing w:after="40"/>
      </w:pPr>
      <w:r>
        <w:rPr>
          <w:b/>
        </w:rPr>
        <w:t>National</w:t>
      </w:r>
      <w:r>
        <w:t xml:space="preserve"> — census of core institutions (MLGCRA, NDPC, OHLGS, GSS, UNICEF, key partners).</w:t>
      </w:r>
    </w:p>
    <w:p>
      <w:pPr>
        <w:pStyle w:val="ListBullet"/>
        <w:spacing w:after="40"/>
      </w:pPr>
      <w:r>
        <w:rPr>
          <w:b/>
        </w:rPr>
        <w:t>Regions</w:t>
      </w:r>
      <w:r>
        <w:t xml:space="preserve"> — purposive selection reflecting diversity (urban/rural mix, performance, spread, presence of slums/informal settlements). Indicative: </w:t>
      </w:r>
      <w:r>
        <w:rPr>
          <w:b/>
        </w:rPr>
        <w:t>4–6 regions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>.</w:t>
      </w:r>
    </w:p>
    <w:p>
      <w:pPr>
        <w:pStyle w:val="ListBullet"/>
        <w:spacing w:after="40"/>
      </w:pPr>
      <w:r>
        <w:rPr>
          <w:b/>
        </w:rPr>
        <w:t>Districts/MMDAs</w:t>
      </w:r>
      <w:r>
        <w:t xml:space="preserve"> — purposive by criteria (implementation intensity, ODF/SMS performance, urban vs rural, informal settlements). Indicative: </w:t>
      </w:r>
      <w:r>
        <w:rPr>
          <w:b/>
        </w:rPr>
        <w:t>2–3 MMDAs per region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>.</w:t>
      </w:r>
    </w:p>
    <w:p>
      <w:pPr>
        <w:pStyle w:val="ListBullet"/>
        <w:spacing w:after="40"/>
      </w:pPr>
      <w:r>
        <w:rPr>
          <w:b/>
        </w:rPr>
        <w:t>Communities &amp; sites</w:t>
      </w:r>
      <w:r>
        <w:t xml:space="preserve"> — purposive including </w:t>
      </w:r>
      <w:r>
        <w:rPr>
          <w:b/>
        </w:rPr>
        <w:t>urban, rural, slums/informal settlements</w:t>
      </w:r>
      <w:r>
        <w:t xml:space="preserve">, plus </w:t>
      </w:r>
      <w:r>
        <w:rPr>
          <w:b/>
        </w:rPr>
        <w:t>institutions/public places</w:t>
      </w:r>
      <w:r>
        <w:t xml:space="preserve"> for observation. Indicative: </w:t>
      </w:r>
      <w:r>
        <w:rPr>
          <w:b/>
        </w:rPr>
        <w:t>2–4 communities per MMDA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>.</w:t>
      </w:r>
    </w:p>
    <w:p>
      <w:pPr>
        <w:pStyle w:val="Heading3"/>
      </w:pPr>
      <w:r>
        <w:t>5.2 Respondents &amp; methods</w:t>
      </w:r>
    </w:p>
    <w:p>
      <w:pPr>
        <w:pStyle w:val="ListBullet"/>
        <w:spacing w:after="40"/>
      </w:pPr>
      <w:r>
        <w:rPr>
          <w:b/>
        </w:rPr>
        <w:t>KIIs (purposive).</w:t>
      </w:r>
      <w:r>
        <w:t xml:space="preserve"> National institutions &amp; partners; regional coordinating councils; MMDA officials and Environmental Health staff; private sanitation-service providers; CSOs/NGOs. Indicative: </w:t>
      </w:r>
      <w:r>
        <w:rPr>
          <w:b/>
        </w:rPr>
        <w:t>40–60 KIIs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>.</w:t>
      </w:r>
    </w:p>
    <w:p>
      <w:pPr>
        <w:pStyle w:val="ListBullet"/>
        <w:spacing w:after="40"/>
      </w:pPr>
      <w:r>
        <w:rPr>
          <w:b/>
        </w:rPr>
        <w:t>FGDs (purposive).</w:t>
      </w:r>
      <w:r>
        <w:t xml:space="preserve"> Community members, with </w:t>
      </w:r>
      <w:r>
        <w:rPr>
          <w:b/>
        </w:rPr>
        <w:t>separate groups</w:t>
      </w:r>
      <w:r>
        <w:t xml:space="preserve"> where appropriate for women, men, youth, persons with disabilities, and slum/informal-settlement residents. Indicative: </w:t>
      </w:r>
      <w:r>
        <w:rPr>
          <w:b/>
        </w:rPr>
        <w:t>24–36 FGDs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>.</w:t>
      </w:r>
    </w:p>
    <w:p>
      <w:pPr>
        <w:pStyle w:val="ListBullet"/>
        <w:spacing w:after="40"/>
      </w:pPr>
      <w:r>
        <w:rPr>
          <w:b/>
        </w:rPr>
        <w:t>Structured survey (probability-based where feasible).</w:t>
      </w:r>
      <w:r>
        <w:t xml:space="preserve"> Households (and institutions/public places as a sub-sample) to estimate service-chain coverage and equity. Indicative: </w:t>
      </w:r>
      <w:r>
        <w:rPr>
          <w:b/>
        </w:rPr>
        <w:t>household sample sized to a stated precision (e.g. ±5%, 95% CI) once the frame is set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 xml:space="preserve"> — final n depends on the frame, design effect (cluster), and disaggregation needs.</w:t>
      </w:r>
    </w:p>
    <w:p>
      <w:pPr>
        <w:pStyle w:val="ListBullet"/>
        <w:spacing w:after="40"/>
      </w:pPr>
      <w:r>
        <w:rPr>
          <w:b/>
        </w:rPr>
        <w:t>Observation.</w:t>
      </w:r>
      <w:r>
        <w:t xml:space="preserve"> Service-chain verification at containment/emptying/treatment points and at institutions/public places, via a structured checklist.</w:t>
      </w:r>
    </w:p>
    <w:p>
      <w:pPr>
        <w:pStyle w:val="Heading3"/>
      </w:pPr>
      <w:r>
        <w:t>5.3 Disaggregation</w:t>
      </w:r>
    </w:p>
    <w:p>
      <w:pPr>
        <w:spacing w:after="120"/>
      </w:pPr>
      <w:r>
        <w:rPr>
          <w:i w:val="0"/>
          <w:sz w:val="21"/>
        </w:rPr>
        <w:t xml:space="preserve">All quantitative data disaggregated by </w:t>
      </w:r>
      <w:r>
        <w:rPr>
          <w:b/>
          <w:i w:val="0"/>
          <w:sz w:val="21"/>
        </w:rPr>
        <w:t>sex, disability, age, location (urban/rural/slum/informal), and wealth where feasible</w:t>
      </w:r>
      <w:r>
        <w:rPr>
          <w:i w:val="0"/>
          <w:sz w:val="21"/>
        </w:rPr>
        <w:t xml:space="preserve">; qualitative sampling deliberately includes marginalised groups. Disaggregation dimensions to be finalised against BaSIS/GSS variables </w:t>
      </w:r>
      <w:r>
        <w:rPr>
          <w:rFonts w:ascii="Consolas" w:hAnsi="Consolas"/>
          <w:i w:val="0"/>
          <w:color w:val="992D00"/>
          <w:sz w:val="21"/>
        </w:rPr>
        <w:t>[REVIEW]</w:t>
      </w:r>
      <w:r>
        <w:rPr>
          <w:i w:val="0"/>
          <w:sz w:val="21"/>
        </w:rPr>
        <w:t>.</w:t>
      </w:r>
    </w:p>
    <w:p>
      <w:pPr>
        <w:pStyle w:val="Heading1"/>
      </w:pPr>
      <w:r>
        <w:t>6. Data-collection methods &amp; tools outline</w:t>
      </w:r>
    </w:p>
    <w:p>
      <w:pPr>
        <w:spacing w:after="120"/>
      </w:pPr>
      <w:r>
        <w:rPr>
          <w:i w:val="0"/>
          <w:sz w:val="21"/>
        </w:rPr>
        <w:t xml:space="preserve">This is a </w:t>
      </w:r>
      <w:r>
        <w:rPr>
          <w:b/>
          <w:i w:val="0"/>
          <w:sz w:val="21"/>
        </w:rPr>
        <w:t>tool list/outline</w:t>
      </w:r>
      <w:r>
        <w:rPr>
          <w:i w:val="0"/>
          <w:sz w:val="21"/>
        </w:rPr>
        <w:t>, not the full instruments; instruments are drafted and field-tested during inception.</w:t>
      </w:r>
    </w:p>
    <w:p>
      <w:pPr>
        <w:pStyle w:val="ListNumber"/>
        <w:spacing w:after="60"/>
      </w:pPr>
      <w:r>
        <w:rPr>
          <w:b/>
        </w:rPr>
        <w:t>Document / BaSIS secondary-data review protocol</w:t>
      </w:r>
      <w:r>
        <w:t xml:space="preserve"> — Plan &amp; perspective framework, results framework/targets, JSR and sector reports, budgets/expenditure, partner documents, JMP/GLAAS/WASSMO/NGOR/ASPAT/SMOSS references; structured </w:t>
      </w:r>
      <w:r>
        <w:rPr>
          <w:b/>
        </w:rPr>
        <w:t>BaSIS data-extraction template</w:t>
      </w:r>
      <w:r>
        <w:t xml:space="preserve"> (coverage, service-chain, disaggregation, time series vs targets).</w:t>
      </w:r>
    </w:p>
    <w:p>
      <w:pPr>
        <w:pStyle w:val="ListNumber"/>
        <w:spacing w:after="60"/>
      </w:pPr>
      <w:r>
        <w:rPr>
          <w:b/>
        </w:rPr>
        <w:t>Structured survey questionnaire</w:t>
      </w:r>
      <w:r>
        <w:t xml:space="preserve"> — household (and institution/public-place module): facility type &amp; service-chain status, ODF/SMS indicators, equity/GESI items, satisfaction; digital data collection (CAPI) with GPS where appropriate.</w:t>
      </w:r>
    </w:p>
    <w:p>
      <w:pPr>
        <w:pStyle w:val="ListNumber"/>
        <w:spacing w:after="60"/>
      </w:pPr>
      <w:r>
        <w:rPr>
          <w:b/>
        </w:rPr>
        <w:t>KII guides</w:t>
      </w:r>
      <w:r>
        <w:t xml:space="preserve"> (role-tailored) — separate guides for national institutions, regional, MMDA/EHSD, UNICEF/partners, and private service providers; cover all criteria, systems building blocks, maturity/scaling, and GESI.</w:t>
      </w:r>
    </w:p>
    <w:p>
      <w:pPr>
        <w:pStyle w:val="ListNumber"/>
        <w:spacing w:after="60"/>
      </w:pPr>
      <w:r>
        <w:rPr>
          <w:b/>
        </w:rPr>
        <w:t>FGD guides</w:t>
      </w:r>
      <w:r>
        <w:t xml:space="preserve"> — community guides, with GESI-sensitive versions for women, persons with disabilities, and slum/informal-settlement residents; cover lived experience, norms, demand/behaviour, equity, ODF durability.</w:t>
      </w:r>
    </w:p>
    <w:p>
      <w:pPr>
        <w:pStyle w:val="ListNumber"/>
        <w:spacing w:after="60"/>
      </w:pPr>
      <w:r>
        <w:rPr>
          <w:b/>
        </w:rPr>
        <w:t>Observation checklist</w:t>
      </w:r>
      <w:r>
        <w:t xml:space="preserve"> — service-chain site verification (containment, emptying, treatment, disposal/reuse) and institutional/public-place sanitation; condition, functionality, accessibility (incl. disability access).</w:t>
      </w:r>
    </w:p>
    <w:p>
      <w:pPr>
        <w:pStyle w:val="ListNumber"/>
        <w:spacing w:after="60"/>
      </w:pPr>
      <w:r>
        <w:rPr>
          <w:b/>
        </w:rPr>
        <w:t>Data Quality Assessment (DQA) tool</w:t>
      </w:r>
      <w:r>
        <w:t xml:space="preserve"> — record-to-report verification at source vs BaSIS, scoring the data-quality dimensions (completeness, timeliness, accuracy, consistency, integrity).</w:t>
      </w:r>
    </w:p>
    <w:p>
      <w:pPr>
        <w:pStyle w:val="ListNumber"/>
        <w:spacing w:after="60"/>
      </w:pPr>
      <w:r>
        <w:rPr>
          <w:b/>
        </w:rPr>
        <w:t>(Optional) Maturity/scaling scoring template &amp; outcome-harvesting template</w:t>
      </w:r>
      <w:r>
        <w:t xml:space="preserve"> — for participatory maturity assessment (EQ3.3) and substantiated outcome statements (EQ3.4/EQ5).</w:t>
      </w:r>
    </w:p>
    <w:p>
      <w:pPr>
        <w:pStyle w:val="Heading1"/>
      </w:pPr>
      <w:r>
        <w:t>7. Analysis plan</w:t>
      </w:r>
    </w:p>
    <w:p>
      <w:pPr>
        <w:pStyle w:val="ListBullet"/>
        <w:spacing w:after="40"/>
      </w:pPr>
      <w:r>
        <w:rPr>
          <w:b/>
        </w:rPr>
        <w:t>Quantitative.</w:t>
      </w:r>
      <w:r>
        <w:t xml:space="preserve"> Descriptive and </w:t>
      </w:r>
      <w:r>
        <w:rPr>
          <w:b/>
        </w:rPr>
        <w:t>disaggregated</w:t>
      </w:r>
      <w:r>
        <w:t xml:space="preserve"> analysis (sex, disability, age, location, wealth) of survey and BaSIS data; </w:t>
      </w:r>
      <w:r>
        <w:rPr>
          <w:b/>
        </w:rPr>
        <w:t>comparison to Plan targets/baseline where these exist</w:t>
      </w:r>
      <w:r>
        <w:t xml:space="preserve"> (no invented baselines); cross-tabs and simple tests where appropriate; service-chain coverage estimates; DQA verification ratios. Cluster/design effects accounted for in survey estimates.</w:t>
      </w:r>
    </w:p>
    <w:p>
      <w:pPr>
        <w:pStyle w:val="ListBullet"/>
        <w:spacing w:after="40"/>
      </w:pPr>
      <w:r>
        <w:rPr>
          <w:b/>
        </w:rPr>
        <w:t>Qualitative.</w:t>
      </w:r>
      <w:r>
        <w:t xml:space="preserve"> </w:t>
      </w:r>
      <w:r>
        <w:rPr>
          <w:b/>
        </w:rPr>
        <w:t>Thematic/framework analysis</w:t>
      </w:r>
      <w:r>
        <w:t xml:space="preserve">, coding KII/FGD/observation evidence </w:t>
      </w:r>
      <w:r>
        <w:rPr>
          <w:b/>
        </w:rPr>
        <w:t>against the evaluation questions and OECD-DAC criteria</w:t>
      </w:r>
      <w:r>
        <w:t>; building-block/maturity scoring; outcome-harvesting substantiation.</w:t>
      </w:r>
    </w:p>
    <w:p>
      <w:pPr>
        <w:pStyle w:val="ListBullet"/>
        <w:spacing w:after="40"/>
      </w:pPr>
      <w:r>
        <w:rPr>
          <w:b/>
        </w:rPr>
        <w:t>Contribution (EQ5).</w:t>
      </w:r>
      <w:r>
        <w:t xml:space="preserve"> </w:t>
      </w:r>
      <w:r>
        <w:rPr>
          <w:b/>
        </w:rPr>
        <w:t>Contribution analysis</w:t>
      </w:r>
      <w:r>
        <w:t xml:space="preserve"> against the validated theory of change — assembling the contribution story, testing rival explanations, stating confidence — rather than claiming clean attribution.</w:t>
      </w:r>
    </w:p>
    <w:p>
      <w:pPr>
        <w:pStyle w:val="ListBullet"/>
        <w:spacing w:after="40"/>
      </w:pPr>
      <w:r>
        <w:rPr>
          <w:b/>
        </w:rPr>
        <w:t>Triangulation.</w:t>
      </w:r>
      <w:r>
        <w:t xml:space="preserve"> For </w:t>
      </w:r>
      <w:r>
        <w:rPr>
          <w:b/>
        </w:rPr>
        <w:t>every</w:t>
      </w:r>
      <w:r>
        <w:t xml:space="preserve"> evaluation question, converge </w:t>
      </w:r>
      <w:r>
        <w:rPr>
          <w:b/>
        </w:rPr>
        <w:t>quantitative + qualitative + document/BaSIS</w:t>
      </w:r>
      <w:r>
        <w:t xml:space="preserve"> evidence (per the matrix). Divergences are reported, not smoothed over.</w:t>
      </w:r>
    </w:p>
    <w:p>
      <w:pPr>
        <w:pStyle w:val="ListBullet"/>
        <w:spacing w:after="40"/>
      </w:pPr>
      <w:r>
        <w:rPr>
          <w:b/>
        </w:rPr>
        <w:t>Synthesis &amp; validation.</w:t>
      </w:r>
      <w:r>
        <w:t xml:space="preserve"> Findings synthesised by criterion and question, then tested in a </w:t>
      </w:r>
      <w:r>
        <w:rPr>
          <w:b/>
        </w:rPr>
        <w:t>multi-stakeholder validation workshop</w:t>
      </w:r>
      <w:r>
        <w:t xml:space="preserve"> to co-create conclusions and recommendations.</w:t>
      </w:r>
    </w:p>
    <w:p>
      <w:pPr>
        <w:pStyle w:val="Heading1"/>
      </w:pPr>
      <w:r>
        <w:t>8. Ethics &amp; safeguarding</w:t>
      </w:r>
    </w:p>
    <w:p>
      <w:pPr>
        <w:pStyle w:val="ListBullet"/>
        <w:spacing w:after="40"/>
      </w:pPr>
      <w:r>
        <w:rPr>
          <w:b/>
        </w:rPr>
        <w:t>Informed consent.</w:t>
      </w:r>
      <w:r>
        <w:t xml:space="preserve"> Voluntary, informed consent for all respondents; clear explanation of purpose, use, and the right to decline/withdraw; consent for any recording.</w:t>
      </w:r>
    </w:p>
    <w:p>
      <w:pPr>
        <w:pStyle w:val="ListBullet"/>
        <w:spacing w:after="40"/>
      </w:pPr>
      <w:r>
        <w:rPr>
          <w:b/>
        </w:rPr>
        <w:t>Confidentiality &amp; data protection.</w:t>
      </w:r>
      <w:r>
        <w:t xml:space="preserve"> Anonymisation/pseudonymisation; secure storage and transfer; access controls; compliance with applicable data-protection norms; no personally identifying data in outputs.</w:t>
      </w:r>
    </w:p>
    <w:p>
      <w:pPr>
        <w:pStyle w:val="ListBullet"/>
        <w:spacing w:after="40"/>
      </w:pPr>
      <w:r>
        <w:rPr>
          <w:b/>
        </w:rPr>
        <w:t>Do-no-harm.</w:t>
      </w:r>
      <w:r>
        <w:t xml:space="preserve"> Sensitivity to dignity around sanitation/defecation topics; avoid stigmatising language; safe, private settings for FGDs; manage expectations (no inducements implying service delivery).</w:t>
      </w:r>
    </w:p>
    <w:p>
      <w:pPr>
        <w:pStyle w:val="ListBullet"/>
        <w:spacing w:after="40"/>
      </w:pPr>
      <w:r>
        <w:rPr>
          <w:b/>
        </w:rPr>
        <w:t>GESI &amp; inclusion.</w:t>
      </w:r>
      <w:r>
        <w:t xml:space="preserve"> Inclusive, accessible methods; separate/safe spaces and same-sex facilitation where appropriate; deliberate inclusion of women, persons with disabilities, and slum/informal-settlement residents; accessible venues/timing.</w:t>
      </w:r>
    </w:p>
    <w:p>
      <w:pPr>
        <w:pStyle w:val="ListBullet"/>
        <w:spacing w:after="40"/>
      </w:pPr>
      <w:r>
        <w:rPr>
          <w:b/>
        </w:rPr>
        <w:t>Child safeguarding.</w:t>
      </w:r>
      <w:r>
        <w:t xml:space="preserve"> Although the framework ToR marks child safeguarding “No”, </w:t>
      </w:r>
      <w:r>
        <w:rPr>
          <w:b/>
        </w:rPr>
        <w:t>fieldwork touches communities with children</w:t>
      </w:r>
      <w:r>
        <w:t xml:space="preserve">, so DC&amp;A Hub will apply </w:t>
      </w:r>
      <w:r>
        <w:rPr>
          <w:b/>
        </w:rPr>
        <w:t>child-safeguarding good practice</w:t>
      </w:r>
      <w:r>
        <w:t xml:space="preserve">: a safeguarding code of conduct, enumerator briefing/screening, no unsupervised contact, no data collected directly from children unless explicitly approved with parental/guardian consent and a clear protocol, and a reporting/referral pathway. </w:t>
      </w:r>
      <w:r>
        <w:rPr>
          <w:rFonts w:ascii="Consolas" w:hAnsi="Consolas"/>
          <w:color w:val="992D00"/>
          <w:sz w:val="19"/>
        </w:rPr>
        <w:t>[REVIEW]</w:t>
      </w:r>
      <w:r>
        <w:t xml:space="preserve"> Confirm with UNICEF/MLGCRA whether any direct engagement with children is in scope and align with UNICEF safeguarding standards.</w:t>
      </w:r>
    </w:p>
    <w:p>
      <w:pPr>
        <w:pStyle w:val="ListBullet"/>
        <w:spacing w:after="40"/>
      </w:pPr>
      <w:r>
        <w:rPr>
          <w:b/>
        </w:rPr>
        <w:t>Ethics approval.</w:t>
      </w:r>
      <w:r>
        <w:t xml:space="preserve"> </w:t>
      </w:r>
      <w:r>
        <w:rPr>
          <w:rFonts w:ascii="Consolas" w:hAnsi="Consolas"/>
          <w:color w:val="992D00"/>
          <w:sz w:val="19"/>
        </w:rPr>
        <w:t>[REVIEW]</w:t>
      </w:r>
      <w:r>
        <w:t xml:space="preserve"> Determine whether institutional/national ethics-board approval is required and secure it before fieldwork.</w:t>
      </w:r>
    </w:p>
    <w:p>
      <w:pPr>
        <w:pStyle w:val="Heading1"/>
      </w:pPr>
      <w:r>
        <w:t>9. Limitations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Limitation / risk</w:t>
            </w:r>
          </w:p>
        </w:tc>
        <w:tc>
          <w:tcPr>
            <w:tcW w:type="dxa" w:w="590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BaSIS data quality, completeness or availability</w:t>
            </w:r>
            <w:r>
              <w:rPr>
                <w:sz w:val="18"/>
              </w:rPr>
              <w:t xml:space="preserve"> may constrain quantitative and trend analysis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Run the </w:t>
            </w:r>
            <w:r>
              <w:rPr>
                <w:b/>
                <w:sz w:val="18"/>
              </w:rPr>
              <w:t>DQA</w:t>
            </w:r>
            <w:r>
              <w:rPr>
                <w:sz w:val="18"/>
              </w:rPr>
              <w:t xml:space="preserve"> early; verify at source; triangulate with survey &amp; qualitative data; clearly flag data gaps and confidence; avoid presenting unverified BaSIS figures as 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Absence of reliable baselines/targets</w:t>
            </w:r>
            <w:r>
              <w:rPr>
                <w:sz w:val="18"/>
              </w:rPr>
              <w:t xml:space="preserve"> for some indicators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Compare to targets only where they exist; otherwise use contribution analysis and qualitative trend evidence; </w:t>
            </w:r>
            <w:r>
              <w:rPr>
                <w:b/>
                <w:sz w:val="18"/>
              </w:rPr>
              <w:t>do not fabricate baselines</w:t>
            </w:r>
            <w:r>
              <w:rPr>
                <w:sz w:val="18"/>
              </w:rPr>
              <w:t>; recommend baseline-setting where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Attribution is hard</w:t>
            </w:r>
            <w:r>
              <w:rPr>
                <w:sz w:val="18"/>
              </w:rPr>
              <w:t xml:space="preserve"> (many actors, broad goals)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Use </w:t>
            </w:r>
            <w:r>
              <w:rPr>
                <w:b/>
                <w:sz w:val="18"/>
              </w:rPr>
              <w:t>contribution analysis</w:t>
            </w:r>
            <w:r>
              <w:rPr>
                <w:sz w:val="18"/>
              </w:rPr>
              <w:t xml:space="preserve"> against the theory of change; state confidence; report rival explanations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District access &amp; logistics</w:t>
            </w:r>
            <w:r>
              <w:rPr>
                <w:sz w:val="18"/>
              </w:rPr>
              <w:t xml:space="preserve"> (distance, security, weather/season, informal-settlement access)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Plan routing and timing with MMDAs; flexible scheduling; local enumerators/guides; contingency sites; remote KIIs where needed </w:t>
            </w:r>
            <w:r>
              <w:rPr>
                <w:rFonts w:ascii="Consolas" w:hAnsi="Consolas"/>
                <w:color w:val="992D00"/>
                <w:sz w:val="18"/>
              </w:rPr>
              <w:t>[REVIEW]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Multi-institution coordination</w:t>
            </w:r>
            <w:r>
              <w:rPr>
                <w:sz w:val="18"/>
              </w:rPr>
              <w:t xml:space="preserve"> (MLGCRA, NDPC, OHLGS, GSS, UNICEF, MMDAs) may slow access/scheduling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>Early inception engagement; UNICEF/MLGCRA-issued introduction letters; a stakeholder engagement &amp; scheduling 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Self-report &amp; courtesy bias</w:t>
            </w:r>
            <w:r>
              <w:rPr>
                <w:sz w:val="18"/>
              </w:rPr>
              <w:t xml:space="preserve"> in surveys/FGDs/KIIs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>Triangulate with observation and records; neutral facilitation; same-sex/peer groupings; anonymity assurances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Sampling non-representativeness</w:t>
            </w:r>
            <w:r>
              <w:rPr>
                <w:sz w:val="18"/>
              </w:rPr>
              <w:t xml:space="preserve"> (purposive site selection)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>Transparent selection criteria; diversity across urban/rural/slum/informal &amp; performance levels; clearly scope generalisability claims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Sensitivity of sanitation topics &amp; safeguarding exposure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do-no-harm and child-safeguarding good practice (Section 8); trained, briefed field teams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Inferred purpose/scope</w:t>
            </w:r>
            <w:r>
              <w:rPr>
                <w:sz w:val="18"/>
              </w:rPr>
              <w:t xml:space="preserve"> (no dedicated evaluation ToR)</w:t>
            </w:r>
          </w:p>
        </w:tc>
        <w:tc>
          <w:tcPr>
            <w:tcW w:type="dxa" w:w="590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Confirm purpose, type, scope, timing and questions at </w:t>
            </w:r>
            <w:r>
              <w:rPr>
                <w:b/>
                <w:sz w:val="18"/>
              </w:rPr>
              <w:t>inception</w:t>
            </w:r>
            <w:r>
              <w:rPr>
                <w:sz w:val="18"/>
              </w:rPr>
              <w:t xml:space="preserve">; treat </w:t>
            </w:r>
            <w:r>
              <w:rPr>
                <w:rFonts w:ascii="Consolas" w:hAnsi="Consolas"/>
                <w:color w:val="992D00"/>
                <w:sz w:val="18"/>
              </w:rPr>
              <w:t>[ASSUMPTION]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992D00"/>
                <w:sz w:val="18"/>
              </w:rPr>
              <w:t>[REVIEW]</w:t>
            </w:r>
            <w:r>
              <w:rPr>
                <w:sz w:val="18"/>
              </w:rPr>
              <w:t xml:space="preserve"> markers as the agenda for that meeting</w:t>
            </w:r>
          </w:p>
        </w:tc>
      </w:tr>
    </w:tbl>
    <w:p/>
    <w:p>
      <w:r>
        <w:rPr>
          <w:i/>
          <w:sz w:val="18"/>
        </w:rPr>
        <w:t>This evaluation design is a first draft prepared by DC&amp;A Hub for expert and client review. Inception-dependent choices are flagged [REVIEW]; inferences made in the absence of a dedicated evaluation ToR are flagged [ASSUMPTION]. No baseline figures, sample frames, or findings have been fabricated; illustrative sample sizes are flagged [REVIEW].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