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b/>
          <w:bCs/>
          <w:sz w:val="40"/>
          <w:szCs w:val="40"/>
        </w:rPr>
        <w:t xml:space="preserve">BIFROST Explosion v5.9 — ORATS Kaizen Honest Findings</w:t>
      </w:r>
    </w:p>
    <w:p>
      <w:pPr>
        <w:spacing w:after="120"/>
        <w:rPr>
          <w:i/>
          <w:iCs/>
          <w:color w:val="555555"/>
          <w:sz w:val="20"/>
          <w:szCs w:val="20"/>
        </w:rPr>
      </w:pPr>
      <w:r>
        <w:rPr>
          <w:i/>
          <w:iCs/>
          <w:color w:val="555555"/>
          <w:sz w:val="20"/>
          <w:szCs w:val="20"/>
        </w:rPr>
        <w:t xml:space="preserve">9 Realms · April 21, 2026 · Honest null result · v5.5 remains champion</w:t>
      </w:r>
    </w:p>
    <w:p>
      <w:pPr>
        <w:pStyle w:val="Heading1"/>
        <w:spacing w:after="120" w:before="240"/>
      </w:pPr>
      <w:r>
        <w:rPr>
          <w:b/>
          <w:bCs/>
          <w:sz w:val="32"/>
          <w:szCs w:val="32"/>
        </w:rPr>
        <w:t xml:space="preserve">Headline</w:t>
      </w:r>
    </w:p>
    <w:p>
      <w:pPr>
        <w:spacing w:after="120"/>
      </w:pPr>
      <w:r>
        <w:t xml:space="preserve">BIFROST Explosion v5.9 tested the ORATS historical options panel (term structure, skew, forward IV curve, rVol, strikes aggregates) across T-14, T-7, and T-1 snapshots against the honest v5.6/v5.8 bar. Result: final test AUC 0.8657 [CI95 0.8180, 0.9101], which is −2.04 pp below the v5.6 bar of 0.8861 and −0.14 pp below v5.8's 0.8671. The 95% CI spans the bar, so the regression is not statistically decisive, but the point estimate sits below the bar so v5.9 is NOT promoted. v5.5 deployed (inflated LR AUC 0.9487) remains champion.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2080"/>
        <w:gridCol w:w="2080"/>
        <w:gridCol w:w="2080"/>
      </w:tblGrid>
      <w:tr>
        <w:trPr>
          <w:tblHeader/>
        </w:trPr>
        <w:tc>
          <w:tcPr>
            <w:tcW w:type="dxa" w:w="3120"/>
            <w:tcBorders>
              <w:top w:val="single" w:color="AAAAAA" w:sz="1"/>
              <w:left w:val="single" w:color="AAAAAA" w:sz="1"/>
              <w:bottom w:val="single" w:color="AAAAAA" w:sz="1"/>
              <w:right w:val="single" w:color="AAAAAA" w:sz="1"/>
            </w:tcBorders>
            <w:shd w:fill="DCE6F1" w:val="clear"/>
            <w:tcMar>
              <w:top w:type="dxa" w:w="80"/>
              <w:left w:type="dxa" w:w="120"/>
              <w:bottom w:type="dxa" w:w="80"/>
              <w:right w:type="dxa" w:w="120"/>
            </w:tcMar>
          </w:tcPr>
          <w:p>
            <w:r>
              <w:rPr>
                <w:b/>
                <w:bCs/>
              </w:rPr>
              <w:t xml:space="preserve">Metric</w:t>
            </w:r>
          </w:p>
        </w:tc>
        <w:tc>
          <w:tcPr>
            <w:tcW w:type="dxa" w:w="2080"/>
            <w:tcBorders>
              <w:top w:val="single" w:color="AAAAAA" w:sz="1"/>
              <w:left w:val="single" w:color="AAAAAA" w:sz="1"/>
              <w:bottom w:val="single" w:color="AAAAAA" w:sz="1"/>
              <w:right w:val="single" w:color="AAAAAA" w:sz="1"/>
            </w:tcBorders>
            <w:shd w:fill="DCE6F1" w:val="clear"/>
            <w:tcMar>
              <w:top w:type="dxa" w:w="80"/>
              <w:left w:type="dxa" w:w="120"/>
              <w:bottom w:type="dxa" w:w="80"/>
              <w:right w:type="dxa" w:w="120"/>
            </w:tcMar>
          </w:tcPr>
          <w:p>
            <w:r>
              <w:rPr>
                <w:b/>
                <w:bCs/>
              </w:rPr>
              <w:t xml:space="preserve">v5.5 deployed (leaked)</w:t>
            </w:r>
          </w:p>
        </w:tc>
        <w:tc>
          <w:tcPr>
            <w:tcW w:type="dxa" w:w="2080"/>
            <w:tcBorders>
              <w:top w:val="single" w:color="AAAAAA" w:sz="1"/>
              <w:left w:val="single" w:color="AAAAAA" w:sz="1"/>
              <w:bottom w:val="single" w:color="AAAAAA" w:sz="1"/>
              <w:right w:val="single" w:color="AAAAAA" w:sz="1"/>
            </w:tcBorders>
            <w:shd w:fill="DCE6F1" w:val="clear"/>
            <w:tcMar>
              <w:top w:type="dxa" w:w="80"/>
              <w:left w:type="dxa" w:w="120"/>
              <w:bottom w:type="dxa" w:w="80"/>
              <w:right w:type="dxa" w:w="120"/>
            </w:tcMar>
          </w:tcPr>
          <w:p>
            <w:r>
              <w:rPr>
                <w:b/>
                <w:bCs/>
              </w:rPr>
              <w:t xml:space="preserve">v5.6/v5.8 honest bar</w:t>
            </w:r>
          </w:p>
        </w:tc>
        <w:tc>
          <w:tcPr>
            <w:tcW w:type="dxa" w:w="2080"/>
            <w:tcBorders>
              <w:top w:val="single" w:color="AAAAAA" w:sz="1"/>
              <w:left w:val="single" w:color="AAAAAA" w:sz="1"/>
              <w:bottom w:val="single" w:color="AAAAAA" w:sz="1"/>
              <w:right w:val="single" w:color="AAAAAA" w:sz="1"/>
            </w:tcBorders>
            <w:shd w:fill="DCE6F1" w:val="clear"/>
            <w:tcMar>
              <w:top w:type="dxa" w:w="80"/>
              <w:left w:type="dxa" w:w="120"/>
              <w:bottom w:type="dxa" w:w="80"/>
              <w:right w:type="dxa" w:w="120"/>
            </w:tcMar>
          </w:tcPr>
          <w:p>
            <w:r>
              <w:rPr>
                <w:b/>
                <w:bCs/>
              </w:rPr>
              <w:t xml:space="preserve">v5.9 final test</w:t>
            </w:r>
          </w:p>
        </w:tc>
      </w:tr>
      <w:tr>
        <w:tc>
          <w:tcPr>
            <w:tcW w:type="dxa" w:w="312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b w:val="false"/>
                <w:bCs w:val="false"/>
              </w:rPr>
              <w:t xml:space="preserve">Test AUC</w:t>
            </w:r>
          </w:p>
        </w:tc>
        <w:tc>
          <w:tcPr>
            <w:tcW w:type="dxa" w:w="208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b w:val="false"/>
                <w:bCs w:val="false"/>
              </w:rPr>
              <w:t xml:space="preserve">0.9487</w:t>
            </w:r>
          </w:p>
        </w:tc>
        <w:tc>
          <w:tcPr>
            <w:tcW w:type="dxa" w:w="208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b w:val="false"/>
                <w:bCs w:val="false"/>
              </w:rPr>
              <w:t xml:space="preserve">v5.6: 0.8861 / v5.8: 0.8671</w:t>
            </w:r>
          </w:p>
        </w:tc>
        <w:tc>
          <w:tcPr>
            <w:tcW w:type="dxa" w:w="208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b w:val="false"/>
                <w:bCs w:val="false"/>
              </w:rPr>
              <w:t xml:space="preserve">0.8657</w:t>
            </w:r>
          </w:p>
        </w:tc>
      </w:tr>
      <w:tr>
        <w:tc>
          <w:tcPr>
            <w:tcW w:type="dxa" w:w="312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b w:val="false"/>
                <w:bCs w:val="false"/>
              </w:rPr>
              <w:t xml:space="preserve">95% CI lower</w:t>
            </w:r>
          </w:p>
        </w:tc>
        <w:tc>
          <w:tcPr>
            <w:tcW w:type="dxa" w:w="208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b w:val="false"/>
                <w:bCs w:val="false"/>
              </w:rPr>
              <w:t xml:space="preserve">—</w:t>
            </w:r>
          </w:p>
        </w:tc>
        <w:tc>
          <w:tcPr>
            <w:tcW w:type="dxa" w:w="208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b w:val="false"/>
                <w:bCs w:val="false"/>
              </w:rPr>
              <w:t xml:space="preserve">—</w:t>
            </w:r>
          </w:p>
        </w:tc>
        <w:tc>
          <w:tcPr>
            <w:tcW w:type="dxa" w:w="208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b w:val="false"/>
                <w:bCs w:val="false"/>
              </w:rPr>
              <w:t xml:space="preserve">0.8180</w:t>
            </w:r>
          </w:p>
        </w:tc>
      </w:tr>
      <w:tr>
        <w:tc>
          <w:tcPr>
            <w:tcW w:type="dxa" w:w="312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b w:val="false"/>
                <w:bCs w:val="false"/>
              </w:rPr>
              <w:t xml:space="preserve">95% CI upper</w:t>
            </w:r>
          </w:p>
        </w:tc>
        <w:tc>
          <w:tcPr>
            <w:tcW w:type="dxa" w:w="208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b w:val="false"/>
                <w:bCs w:val="false"/>
              </w:rPr>
              <w:t xml:space="preserve">—</w:t>
            </w:r>
          </w:p>
        </w:tc>
        <w:tc>
          <w:tcPr>
            <w:tcW w:type="dxa" w:w="208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b w:val="false"/>
                <w:bCs w:val="false"/>
              </w:rPr>
              <w:t xml:space="preserve">—</w:t>
            </w:r>
          </w:p>
        </w:tc>
        <w:tc>
          <w:tcPr>
            <w:tcW w:type="dxa" w:w="208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b w:val="false"/>
                <w:bCs w:val="false"/>
              </w:rPr>
              <w:t xml:space="preserve">0.9101</w:t>
            </w:r>
          </w:p>
        </w:tc>
      </w:tr>
      <w:tr>
        <w:tc>
          <w:tcPr>
            <w:tcW w:type="dxa" w:w="312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b w:val="false"/>
                <w:bCs w:val="false"/>
              </w:rPr>
              <w:t xml:space="preserve">Δ vs v5.6 bar</w:t>
            </w:r>
          </w:p>
        </w:tc>
        <w:tc>
          <w:tcPr>
            <w:tcW w:type="dxa" w:w="208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b w:val="false"/>
                <w:bCs w:val="false"/>
              </w:rPr>
              <w:t xml:space="preserve">+626 bp (INFLATED)</w:t>
            </w:r>
          </w:p>
        </w:tc>
        <w:tc>
          <w:tcPr>
            <w:tcW w:type="dxa" w:w="208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b w:val="false"/>
                <w:bCs w:val="false"/>
              </w:rPr>
              <w:t xml:space="preserve">reference</w:t>
            </w:r>
          </w:p>
        </w:tc>
        <w:tc>
          <w:tcPr>
            <w:tcW w:type="dxa" w:w="208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b w:val="false"/>
                <w:bCs w:val="false"/>
              </w:rPr>
              <w:t xml:space="preserve">−2.04 pp</w:t>
            </w:r>
          </w:p>
        </w:tc>
      </w:tr>
      <w:tr>
        <w:tc>
          <w:tcPr>
            <w:tcW w:type="dxa" w:w="312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b w:val="false"/>
                <w:bCs w:val="false"/>
              </w:rPr>
              <w:t xml:space="preserve">Δ vs v5.8</w:t>
            </w:r>
          </w:p>
        </w:tc>
        <w:tc>
          <w:tcPr>
            <w:tcW w:type="dxa" w:w="208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b w:val="false"/>
                <w:bCs w:val="false"/>
              </w:rPr>
              <w:t xml:space="preserve">+816 bp (INFLATED)</w:t>
            </w:r>
          </w:p>
        </w:tc>
        <w:tc>
          <w:tcPr>
            <w:tcW w:type="dxa" w:w="208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b w:val="false"/>
                <w:bCs w:val="false"/>
              </w:rPr>
              <w:t xml:space="preserve">reference</w:t>
            </w:r>
          </w:p>
        </w:tc>
        <w:tc>
          <w:tcPr>
            <w:tcW w:type="dxa" w:w="208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b w:val="false"/>
                <w:bCs w:val="false"/>
              </w:rPr>
              <w:t xml:space="preserve">−0.14 pp</w:t>
            </w:r>
          </w:p>
        </w:tc>
      </w:tr>
      <w:tr>
        <w:tc>
          <w:tcPr>
            <w:tcW w:type="dxa" w:w="312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b w:val="false"/>
                <w:bCs w:val="false"/>
              </w:rPr>
              <w:t xml:space="preserve">Verdict</w:t>
            </w:r>
          </w:p>
        </w:tc>
        <w:tc>
          <w:tcPr>
            <w:tcW w:type="dxa" w:w="208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b w:val="false"/>
                <w:bCs w:val="false"/>
              </w:rPr>
              <w:t xml:space="preserve">—</w:t>
            </w:r>
          </w:p>
        </w:tc>
        <w:tc>
          <w:tcPr>
            <w:tcW w:type="dxa" w:w="208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b w:val="false"/>
                <w:bCs w:val="false"/>
              </w:rPr>
              <w:t xml:space="preserve">—</w:t>
            </w:r>
          </w:p>
        </w:tc>
        <w:tc>
          <w:tcPr>
            <w:tcW w:type="dxa" w:w="208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b w:val="false"/>
                <w:bCs w:val="false"/>
              </w:rPr>
              <w:t xml:space="preserve">REGRESSION — hold v5.5</w:t>
            </w:r>
          </w:p>
        </w:tc>
      </w:tr>
    </w:tbl>
    <w:p>
      <w:pPr>
        <w:pStyle w:val="Heading1"/>
        <w:spacing w:after="120" w:before="240"/>
      </w:pPr>
      <w:r>
        <w:rPr>
          <w:b/>
          <w:bCs/>
          <w:sz w:val="32"/>
          <w:szCs w:val="32"/>
        </w:rPr>
        <w:t xml:space="preserve">What was tested</w:t>
      </w:r>
    </w:p>
    <w:p>
      <w:pPr>
        <w:spacing w:after="120"/>
      </w:pPr>
      <w:r>
        <w:t xml:space="preserve">Honest 3-way split: train ≤2023 (n=1,032), val 2024 (n=341), test ≥2025 (n=331). Explosion rates 4.65% / 4.11% / 10.27%. Baseline = the v5.8 final 60-feature set (locked). Candidate pool = 128 ORATS-derived features across 7 families: IV term structure (iv10d…iv90d at T-14/T-7/T-1), skew / risk reversal (skewing, put_skew, call_skew), forward IV curve (fwd30_20, fwd60_30, fwd90_30), realized vol (rVol20, rVol30), IV rank / percentile, strikes-aggregate (ATM call/put midIv, vol, OI), and coverage indicator flags (orats_scorable_T14 / T7 / T1 / strikes_T14 / strikes_T1).</w:t>
      </w:r>
    </w:p>
    <w:p>
      <w:pPr>
        <w:spacing w:after="120"/>
      </w:pPr>
      <w:r>
        <w:t xml:space="preserve">ORATS cache state at eval time: 14,703 files covering 1,704 events as follows:</w:t>
      </w:r>
    </w:p>
    <w:tbl>
      <w:tblPr>
        <w:tblW w:type="dxa" w:w="8360"/>
        <w:tblBorders>
          <w:top w:val="single" w:color="auto" w:sz="4"/>
          <w:left w:val="single" w:color="auto" w:sz="4"/>
          <w:bottom w:val="single" w:color="auto" w:sz="4"/>
          <w:right w:val="single" w:color="auto" w:sz="4"/>
          <w:insideH w:val="single" w:color="auto" w:sz="4"/>
          <w:insideV w:val="single" w:color="auto" w:sz="4"/>
        </w:tblBorders>
      </w:tblPr>
      <w:tblGrid>
        <w:gridCol w:w="3220"/>
        <w:gridCol w:w="1900"/>
        <w:gridCol w:w="1900"/>
        <w:gridCol w:w="1340"/>
      </w:tblGrid>
      <w:tr>
        <w:trPr>
          <w:tblHeader/>
        </w:trPr>
        <w:tc>
          <w:tcPr>
            <w:tcW w:type="dxa" w:w="3220"/>
            <w:tcBorders>
              <w:top w:val="single" w:color="AAAAAA" w:sz="1"/>
              <w:left w:val="single" w:color="AAAAAA" w:sz="1"/>
              <w:bottom w:val="single" w:color="AAAAAA" w:sz="1"/>
              <w:right w:val="single" w:color="AAAAAA" w:sz="1"/>
            </w:tcBorders>
            <w:shd w:fill="DCE6F1" w:val="clear"/>
            <w:tcMar>
              <w:top w:type="dxa" w:w="80"/>
              <w:left w:type="dxa" w:w="120"/>
              <w:bottom w:type="dxa" w:w="80"/>
              <w:right w:type="dxa" w:w="120"/>
            </w:tcMar>
          </w:tcPr>
          <w:p>
            <w:r>
              <w:rPr>
                <w:b/>
                <w:bCs/>
              </w:rPr>
              <w:t xml:space="preserve">ORATS Snapshot</w:t>
            </w:r>
          </w:p>
        </w:tc>
        <w:tc>
          <w:tcPr>
            <w:tcW w:type="dxa" w:w="1900"/>
            <w:tcBorders>
              <w:top w:val="single" w:color="AAAAAA" w:sz="1"/>
              <w:left w:val="single" w:color="AAAAAA" w:sz="1"/>
              <w:bottom w:val="single" w:color="AAAAAA" w:sz="1"/>
              <w:right w:val="single" w:color="AAAAAA" w:sz="1"/>
            </w:tcBorders>
            <w:shd w:fill="DCE6F1" w:val="clear"/>
            <w:tcMar>
              <w:top w:type="dxa" w:w="80"/>
              <w:left w:type="dxa" w:w="120"/>
              <w:bottom w:type="dxa" w:w="80"/>
              <w:right w:type="dxa" w:w="120"/>
            </w:tcMar>
          </w:tcPr>
          <w:p>
            <w:r>
              <w:rPr>
                <w:b/>
                <w:bCs/>
              </w:rPr>
              <w:t xml:space="preserve">Events Covered</w:t>
            </w:r>
          </w:p>
        </w:tc>
        <w:tc>
          <w:tcPr>
            <w:tcW w:type="dxa" w:w="1900"/>
            <w:tcBorders>
              <w:top w:val="single" w:color="AAAAAA" w:sz="1"/>
              <w:left w:val="single" w:color="AAAAAA" w:sz="1"/>
              <w:bottom w:val="single" w:color="AAAAAA" w:sz="1"/>
              <w:right w:val="single" w:color="AAAAAA" w:sz="1"/>
            </w:tcBorders>
            <w:shd w:fill="DCE6F1" w:val="clear"/>
            <w:tcMar>
              <w:top w:type="dxa" w:w="80"/>
              <w:left w:type="dxa" w:w="120"/>
              <w:bottom w:type="dxa" w:w="80"/>
              <w:right w:type="dxa" w:w="120"/>
            </w:tcMar>
          </w:tcPr>
          <w:p>
            <w:r>
              <w:rPr>
                <w:b/>
                <w:bCs/>
              </w:rPr>
              <w:t xml:space="preserve">% of 1,704</w:t>
            </w:r>
          </w:p>
        </w:tc>
        <w:tc>
          <w:tcPr>
            <w:tcW w:type="dxa" w:w="1340"/>
            <w:tcBorders>
              <w:top w:val="single" w:color="AAAAAA" w:sz="1"/>
              <w:left w:val="single" w:color="AAAAAA" w:sz="1"/>
              <w:bottom w:val="single" w:color="AAAAAA" w:sz="1"/>
              <w:right w:val="single" w:color="AAAAAA" w:sz="1"/>
            </w:tcBorders>
            <w:shd w:fill="DCE6F1" w:val="clear"/>
            <w:tcMar>
              <w:top w:type="dxa" w:w="80"/>
              <w:left w:type="dxa" w:w="120"/>
              <w:bottom w:type="dxa" w:w="80"/>
              <w:right w:type="dxa" w:w="120"/>
            </w:tcMar>
          </w:tcPr>
          <w:p>
            <w:r>
              <w:rPr>
                <w:b/>
                <w:bCs/>
              </w:rPr>
              <w:t xml:space="preserve">Source</w:t>
            </w:r>
          </w:p>
        </w:tc>
      </w:tr>
      <w:tr>
        <w:tc>
          <w:tcPr>
            <w:tcW w:type="dxa" w:w="322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b w:val="false"/>
                <w:bCs w:val="false"/>
              </w:rPr>
              <w:t xml:space="preserve">T-14 core (summaries)</w:t>
            </w:r>
          </w:p>
        </w:tc>
        <w:tc>
          <w:tcPr>
            <w:tcW w:type="dxa" w:w="19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b w:val="false"/>
                <w:bCs w:val="false"/>
              </w:rPr>
              <w:t xml:space="preserve">1,360</w:t>
            </w:r>
          </w:p>
        </w:tc>
        <w:tc>
          <w:tcPr>
            <w:tcW w:type="dxa" w:w="19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b w:val="false"/>
                <w:bCs w:val="false"/>
              </w:rPr>
              <w:t xml:space="preserve">79.8%</w:t>
            </w:r>
          </w:p>
        </w:tc>
        <w:tc>
          <w:tcPr>
            <w:tcW w:type="dxa" w:w="134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b w:val="false"/>
                <w:bCs w:val="false"/>
              </w:rPr>
              <w:t xml:space="preserve">Stage 2 full + Stage 2B skinny</w:t>
            </w:r>
          </w:p>
        </w:tc>
      </w:tr>
      <w:tr>
        <w:tc>
          <w:tcPr>
            <w:tcW w:type="dxa" w:w="322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b w:val="false"/>
                <w:bCs w:val="false"/>
              </w:rPr>
              <w:t xml:space="preserve">T-7 core (summaries)</w:t>
            </w:r>
          </w:p>
        </w:tc>
        <w:tc>
          <w:tcPr>
            <w:tcW w:type="dxa" w:w="19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b w:val="false"/>
                <w:bCs w:val="false"/>
              </w:rPr>
              <w:t xml:space="preserve">1,138</w:t>
            </w:r>
          </w:p>
        </w:tc>
        <w:tc>
          <w:tcPr>
            <w:tcW w:type="dxa" w:w="19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b w:val="false"/>
                <w:bCs w:val="false"/>
              </w:rPr>
              <w:t xml:space="preserve">66.8%</w:t>
            </w:r>
          </w:p>
        </w:tc>
        <w:tc>
          <w:tcPr>
            <w:tcW w:type="dxa" w:w="134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b w:val="false"/>
                <w:bCs w:val="false"/>
              </w:rPr>
              <w:t xml:space="preserve">Stage 2 full (halted)</w:t>
            </w:r>
          </w:p>
        </w:tc>
      </w:tr>
      <w:tr>
        <w:tc>
          <w:tcPr>
            <w:tcW w:type="dxa" w:w="322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b w:val="false"/>
                <w:bCs w:val="false"/>
              </w:rPr>
              <w:t xml:space="preserve">T-1 core (summaries)</w:t>
            </w:r>
          </w:p>
        </w:tc>
        <w:tc>
          <w:tcPr>
            <w:tcW w:type="dxa" w:w="19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b w:val="false"/>
                <w:bCs w:val="false"/>
              </w:rPr>
              <w:t xml:space="preserve">1,141</w:t>
            </w:r>
          </w:p>
        </w:tc>
        <w:tc>
          <w:tcPr>
            <w:tcW w:type="dxa" w:w="19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b w:val="false"/>
                <w:bCs w:val="false"/>
              </w:rPr>
              <w:t xml:space="preserve">67.0%</w:t>
            </w:r>
          </w:p>
        </w:tc>
        <w:tc>
          <w:tcPr>
            <w:tcW w:type="dxa" w:w="134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b w:val="false"/>
                <w:bCs w:val="false"/>
              </w:rPr>
              <w:t xml:space="preserve">Stage 2 full (halted)</w:t>
            </w:r>
          </w:p>
        </w:tc>
      </w:tr>
      <w:tr>
        <w:tc>
          <w:tcPr>
            <w:tcW w:type="dxa" w:w="322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b w:val="false"/>
                <w:bCs w:val="false"/>
              </w:rPr>
              <w:t xml:space="preserve">T-14 strikes</w:t>
            </w:r>
          </w:p>
        </w:tc>
        <w:tc>
          <w:tcPr>
            <w:tcW w:type="dxa" w:w="19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b w:val="false"/>
                <w:bCs w:val="false"/>
              </w:rPr>
              <w:t xml:space="preserve">1,360</w:t>
            </w:r>
          </w:p>
        </w:tc>
        <w:tc>
          <w:tcPr>
            <w:tcW w:type="dxa" w:w="19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b w:val="false"/>
                <w:bCs w:val="false"/>
              </w:rPr>
              <w:t xml:space="preserve">79.8%</w:t>
            </w:r>
          </w:p>
        </w:tc>
        <w:tc>
          <w:tcPr>
            <w:tcW w:type="dxa" w:w="134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b w:val="false"/>
                <w:bCs w:val="false"/>
              </w:rPr>
              <w:t xml:space="preserve">Stage 2 full + Stage 2B skinny</w:t>
            </w:r>
          </w:p>
        </w:tc>
      </w:tr>
      <w:tr>
        <w:tc>
          <w:tcPr>
            <w:tcW w:type="dxa" w:w="322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b w:val="false"/>
                <w:bCs w:val="false"/>
              </w:rPr>
              <w:t xml:space="preserve">T-1 strikes</w:t>
            </w:r>
          </w:p>
        </w:tc>
        <w:tc>
          <w:tcPr>
            <w:tcW w:type="dxa" w:w="19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b w:val="false"/>
                <w:bCs w:val="false"/>
              </w:rPr>
              <w:t xml:space="preserve">1,137</w:t>
            </w:r>
          </w:p>
        </w:tc>
        <w:tc>
          <w:tcPr>
            <w:tcW w:type="dxa" w:w="19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b w:val="false"/>
                <w:bCs w:val="false"/>
              </w:rPr>
              <w:t xml:space="preserve">66.7%</w:t>
            </w:r>
          </w:p>
        </w:tc>
        <w:tc>
          <w:tcPr>
            <w:tcW w:type="dxa" w:w="134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b w:val="false"/>
                <w:bCs w:val="false"/>
              </w:rPr>
              <w:t xml:space="preserve">Stage 2 full (halted)</w:t>
            </w:r>
          </w:p>
        </w:tc>
      </w:tr>
    </w:tbl>
    <w:p>
      <w:pPr>
        <w:spacing w:after="120"/>
      </w:pPr>
      <w:r>
        <w:t xml:space="preserve">Coverage is heterogeneous because Stage 2 (full 11-endpoint pull) was halted mid-run at event 1299 after the user directive “we are near API limit, scale back and get as much as possible before we are cut off.” Stage 2B skinny (2 endpoints/event, T-14 only) filled events 1300–1648 (the 2025–2026 test set) with 277/349 events fully cached. The remaining T-7 and T-1 gaps for test-set events are handled by the orats_scorable_* coverage indicator flags, which mark events with / without data and allow the features to safely zero out where data is missing.</w:t>
      </w:r>
    </w:p>
    <w:p>
      <w:pPr>
        <w:pStyle w:val="Heading1"/>
        <w:spacing w:after="120" w:before="240"/>
      </w:pPr>
      <w:r>
        <w:rPr>
          <w:b/>
          <w:bCs/>
          <w:sz w:val="32"/>
          <w:szCs w:val="32"/>
        </w:rPr>
        <w:t xml:space="preserve">Methodology</w:t>
      </w:r>
    </w:p>
    <w:p>
      <w:pPr>
        <w:spacing w:after="120"/>
      </w:pPr>
      <w:r>
        <w:t xml:space="preserve">VAL-only C sweep (7 values), val-only greedy forward selection on 128 ORATS candidates (gate Δval ≥ +0.002, max 10 rounds), val-only architecture sweep (Ridge vs 5 Ridge+GBM+LGB weight mixes). Test touched once. Bootstrap 95% CI with n_boot=2,000, seed=42, percentile.</w:t>
      </w:r>
    </w:p>
    <w:p>
      <w:pPr>
        <w:pStyle w:val="Heading2"/>
        <w:spacing w:after="100" w:before="200"/>
      </w:pPr>
      <w:r>
        <w:rPr>
          <w:b/>
          <w:bCs/>
          <w:sz w:val="26"/>
          <w:szCs w:val="26"/>
        </w:rPr>
        <w:t xml:space="preserve">C sweep</w:t>
      </w:r>
    </w:p>
    <w:p>
      <w:pPr>
        <w:spacing w:after="120"/>
      </w:pPr>
      <w:r>
        <w:t xml:space="preserve">C=0.01 wins at val AUC 0.8124, matching the v5.8 pattern (honest eval consistently prefers 10× stronger regularization than the deployed v5.5 C=0.10). Weaker regularization monotonically hurts val: 0.7837 at C=0.03, 0.7442 at C=0.10, 0.6813 at C=1.0. This is the 4th consecutive BIFROST honest eval (v5.6, v5.7, v5.8, v5.9) to prefer C=0.01–0.05.</w:t>
      </w:r>
    </w:p>
    <w:p>
      <w:pPr>
        <w:pStyle w:val="Heading2"/>
        <w:spacing w:after="100" w:before="200"/>
      </w:pPr>
      <w:r>
        <w:rPr>
          <w:b/>
          <w:bCs/>
          <w:sz w:val="26"/>
          <w:szCs w:val="26"/>
        </w:rPr>
        <w:t xml:space="preserve">Pre-screen</w:t>
      </w:r>
    </w:p>
    <w:p>
      <w:pPr>
        <w:spacing w:after="120"/>
      </w:pPr>
      <w:r>
        <w:t xml:space="preserve">Single-feature screening on top of the baseline: 64 of 128 ORATS candidates had positive val lift; 51 cleared the +0.002 gate. Top solo performers: orats_fwd30_20_T14 (+0.0507), orats_contango_T1 (+0.0483), orats_rVol30_T14 (+0.0459), orats_iv60d_T14 (+0.0411), orats_skewing_T14 (+0.0400). The headline solo lifts look extraordinary on the surface — but all concentrated at the T-14 snapshot, which is also where coverage is densest. This is a data-partitioning artifact warning: the val AUC is partly lifted because the feature exists on 79.8% of events (T-14) versus 66.8–67.0% on T-7/T-1, which creates an implicit “has ORATS coverage” subgroup signal that the indicator flag would better isolate. The greedy round 6 pick confirms this.</w:t>
      </w:r>
    </w:p>
    <w:p>
      <w:pPr>
        <w:pStyle w:val="Heading2"/>
        <w:spacing w:after="100" w:before="200"/>
      </w:pPr>
      <w:r>
        <w:rPr>
          <w:b/>
          <w:bCs/>
          <w:sz w:val="26"/>
          <w:szCs w:val="26"/>
        </w:rPr>
        <w:t xml:space="preserve">Greedy forward selection</w:t>
      </w:r>
    </w:p>
    <w:p>
      <w:pPr>
        <w:spacing w:after="120"/>
      </w:pPr>
      <w:r>
        <w:t xml:space="preserve">7 features survived the +0.002 gate across 7 rounds, ending at val AUC 0.9155 on 60+7 = 67 features:</w:t>
      </w:r>
    </w:p>
    <w:tbl>
      <w:tblPr>
        <w:tblW w:type="dxa" w:w="8360"/>
        <w:tblBorders>
          <w:top w:val="single" w:color="auto" w:sz="4"/>
          <w:left w:val="single" w:color="auto" w:sz="4"/>
          <w:bottom w:val="single" w:color="auto" w:sz="4"/>
          <w:right w:val="single" w:color="auto" w:sz="4"/>
          <w:insideH w:val="single" w:color="auto" w:sz="4"/>
          <w:insideV w:val="single" w:color="auto" w:sz="4"/>
        </w:tblBorders>
      </w:tblPr>
      <w:tblGrid>
        <w:gridCol w:w="860"/>
        <w:gridCol w:w="4220"/>
        <w:gridCol w:w="1680"/>
        <w:gridCol w:w="1600"/>
      </w:tblGrid>
      <w:tr>
        <w:trPr>
          <w:tblHeader/>
        </w:trPr>
        <w:tc>
          <w:tcPr>
            <w:tcW w:type="dxa" w:w="860"/>
            <w:tcBorders>
              <w:top w:val="single" w:color="AAAAAA" w:sz="1"/>
              <w:left w:val="single" w:color="AAAAAA" w:sz="1"/>
              <w:bottom w:val="single" w:color="AAAAAA" w:sz="1"/>
              <w:right w:val="single" w:color="AAAAAA" w:sz="1"/>
            </w:tcBorders>
            <w:shd w:fill="DCE6F1" w:val="clear"/>
            <w:tcMar>
              <w:top w:type="dxa" w:w="80"/>
              <w:left w:type="dxa" w:w="120"/>
              <w:bottom w:type="dxa" w:w="80"/>
              <w:right w:type="dxa" w:w="120"/>
            </w:tcMar>
          </w:tcPr>
          <w:p>
            <w:r>
              <w:rPr>
                <w:b/>
                <w:bCs/>
              </w:rPr>
              <w:t xml:space="preserve">Round</w:t>
            </w:r>
          </w:p>
        </w:tc>
        <w:tc>
          <w:tcPr>
            <w:tcW w:type="dxa" w:w="4220"/>
            <w:tcBorders>
              <w:top w:val="single" w:color="AAAAAA" w:sz="1"/>
              <w:left w:val="single" w:color="AAAAAA" w:sz="1"/>
              <w:bottom w:val="single" w:color="AAAAAA" w:sz="1"/>
              <w:right w:val="single" w:color="AAAAAA" w:sz="1"/>
            </w:tcBorders>
            <w:shd w:fill="DCE6F1" w:val="clear"/>
            <w:tcMar>
              <w:top w:type="dxa" w:w="80"/>
              <w:left w:type="dxa" w:w="120"/>
              <w:bottom w:type="dxa" w:w="80"/>
              <w:right w:type="dxa" w:w="120"/>
            </w:tcMar>
          </w:tcPr>
          <w:p>
            <w:r>
              <w:rPr>
                <w:b/>
                <w:bCs/>
              </w:rPr>
              <w:t xml:space="preserve">Feature</w:t>
            </w:r>
          </w:p>
        </w:tc>
        <w:tc>
          <w:tcPr>
            <w:tcW w:type="dxa" w:w="1680"/>
            <w:tcBorders>
              <w:top w:val="single" w:color="AAAAAA" w:sz="1"/>
              <w:left w:val="single" w:color="AAAAAA" w:sz="1"/>
              <w:bottom w:val="single" w:color="AAAAAA" w:sz="1"/>
              <w:right w:val="single" w:color="AAAAAA" w:sz="1"/>
            </w:tcBorders>
            <w:shd w:fill="DCE6F1" w:val="clear"/>
            <w:tcMar>
              <w:top w:type="dxa" w:w="80"/>
              <w:left w:type="dxa" w:w="120"/>
              <w:bottom w:type="dxa" w:w="80"/>
              <w:right w:type="dxa" w:w="120"/>
            </w:tcMar>
          </w:tcPr>
          <w:p>
            <w:r>
              <w:rPr>
                <w:b/>
                <w:bCs/>
              </w:rPr>
              <w:t xml:space="preserve">Val AUC</w:t>
            </w:r>
          </w:p>
        </w:tc>
        <w:tc>
          <w:tcPr>
            <w:tcW w:type="dxa" w:w="1600"/>
            <w:tcBorders>
              <w:top w:val="single" w:color="AAAAAA" w:sz="1"/>
              <w:left w:val="single" w:color="AAAAAA" w:sz="1"/>
              <w:bottom w:val="single" w:color="AAAAAA" w:sz="1"/>
              <w:right w:val="single" w:color="AAAAAA" w:sz="1"/>
            </w:tcBorders>
            <w:shd w:fill="DCE6F1" w:val="clear"/>
            <w:tcMar>
              <w:top w:type="dxa" w:w="80"/>
              <w:left w:type="dxa" w:w="120"/>
              <w:bottom w:type="dxa" w:w="80"/>
              <w:right w:type="dxa" w:w="120"/>
            </w:tcMar>
          </w:tcPr>
          <w:p>
            <w:r>
              <w:rPr>
                <w:b/>
                <w:bCs/>
              </w:rPr>
              <w:t xml:space="preserve">Δ val</w:t>
            </w:r>
          </w:p>
        </w:tc>
      </w:tr>
      <w:tr>
        <w:tc>
          <w:tcPr>
            <w:tcW w:type="dxa" w:w="8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b w:val="false"/>
                <w:bCs w:val="false"/>
              </w:rPr>
              <w:t xml:space="preserve">1</w:t>
            </w:r>
          </w:p>
        </w:tc>
        <w:tc>
          <w:tcPr>
            <w:tcW w:type="dxa" w:w="422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b w:val="false"/>
                <w:bCs w:val="false"/>
              </w:rPr>
              <w:t xml:space="preserve">orats_fwd30_20_T14  (forward IV 30→20)</w:t>
            </w:r>
          </w:p>
        </w:tc>
        <w:tc>
          <w:tcPr>
            <w:tcW w:type="dxa" w:w="168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b w:val="false"/>
                <w:bCs w:val="false"/>
              </w:rPr>
              <w:t xml:space="preserve">0.8630</w:t>
            </w:r>
          </w:p>
        </w:tc>
        <w:tc>
          <w:tcPr>
            <w:tcW w:type="dxa" w:w="16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b w:val="false"/>
                <w:bCs w:val="false"/>
              </w:rPr>
              <w:t xml:space="preserve">+0.0507</w:t>
            </w:r>
          </w:p>
        </w:tc>
      </w:tr>
      <w:tr>
        <w:tc>
          <w:tcPr>
            <w:tcW w:type="dxa" w:w="8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b w:val="false"/>
                <w:bCs w:val="false"/>
              </w:rPr>
              <w:t xml:space="preserve">2</w:t>
            </w:r>
          </w:p>
        </w:tc>
        <w:tc>
          <w:tcPr>
            <w:tcW w:type="dxa" w:w="422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b w:val="false"/>
                <w:bCs w:val="false"/>
              </w:rPr>
              <w:t xml:space="preserve">orats_contango_T1  (term-structure slope T-1)</w:t>
            </w:r>
          </w:p>
        </w:tc>
        <w:tc>
          <w:tcPr>
            <w:tcW w:type="dxa" w:w="168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b w:val="false"/>
                <w:bCs w:val="false"/>
              </w:rPr>
              <w:t xml:space="preserve">0.8834</w:t>
            </w:r>
          </w:p>
        </w:tc>
        <w:tc>
          <w:tcPr>
            <w:tcW w:type="dxa" w:w="16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b w:val="false"/>
                <w:bCs w:val="false"/>
              </w:rPr>
              <w:t xml:space="preserve">+0.0203</w:t>
            </w:r>
          </w:p>
        </w:tc>
      </w:tr>
      <w:tr>
        <w:tc>
          <w:tcPr>
            <w:tcW w:type="dxa" w:w="8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b w:val="false"/>
                <w:bCs w:val="false"/>
              </w:rPr>
              <w:t xml:space="preserve">3</w:t>
            </w:r>
          </w:p>
        </w:tc>
        <w:tc>
          <w:tcPr>
            <w:tcW w:type="dxa" w:w="422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b w:val="false"/>
                <w:bCs w:val="false"/>
              </w:rPr>
              <w:t xml:space="preserve">orats_skewing_T14  (vol skew at T-14)</w:t>
            </w:r>
          </w:p>
        </w:tc>
        <w:tc>
          <w:tcPr>
            <w:tcW w:type="dxa" w:w="168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b w:val="false"/>
                <w:bCs w:val="false"/>
              </w:rPr>
              <w:t xml:space="preserve">0.8941</w:t>
            </w:r>
          </w:p>
        </w:tc>
        <w:tc>
          <w:tcPr>
            <w:tcW w:type="dxa" w:w="16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b w:val="false"/>
                <w:bCs w:val="false"/>
              </w:rPr>
              <w:t xml:space="preserve">+0.0107</w:t>
            </w:r>
          </w:p>
        </w:tc>
      </w:tr>
      <w:tr>
        <w:tc>
          <w:tcPr>
            <w:tcW w:type="dxa" w:w="8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b w:val="false"/>
                <w:bCs w:val="false"/>
              </w:rPr>
              <w:t xml:space="preserve">4</w:t>
            </w:r>
          </w:p>
        </w:tc>
        <w:tc>
          <w:tcPr>
            <w:tcW w:type="dxa" w:w="422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b w:val="false"/>
                <w:bCs w:val="false"/>
              </w:rPr>
              <w:t xml:space="preserve">orats_put_skew_T1  (put-side skew at T-1)</w:t>
            </w:r>
          </w:p>
        </w:tc>
        <w:tc>
          <w:tcPr>
            <w:tcW w:type="dxa" w:w="168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b w:val="false"/>
                <w:bCs w:val="false"/>
              </w:rPr>
              <w:t xml:space="preserve">0.9006</w:t>
            </w:r>
          </w:p>
        </w:tc>
        <w:tc>
          <w:tcPr>
            <w:tcW w:type="dxa" w:w="16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b w:val="false"/>
                <w:bCs w:val="false"/>
              </w:rPr>
              <w:t xml:space="preserve">+0.0066</w:t>
            </w:r>
          </w:p>
        </w:tc>
      </w:tr>
      <w:tr>
        <w:tc>
          <w:tcPr>
            <w:tcW w:type="dxa" w:w="8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b w:val="false"/>
                <w:bCs w:val="false"/>
              </w:rPr>
              <w:t xml:space="preserve">5</w:t>
            </w:r>
          </w:p>
        </w:tc>
        <w:tc>
          <w:tcPr>
            <w:tcW w:type="dxa" w:w="422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b w:val="false"/>
                <w:bCs w:val="false"/>
              </w:rPr>
              <w:t xml:space="preserve">orats_fwd60_30_T14  (forward IV 60→30)</w:t>
            </w:r>
          </w:p>
        </w:tc>
        <w:tc>
          <w:tcPr>
            <w:tcW w:type="dxa" w:w="168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b w:val="false"/>
                <w:bCs w:val="false"/>
              </w:rPr>
              <w:t xml:space="preserve">0.9059</w:t>
            </w:r>
          </w:p>
        </w:tc>
        <w:tc>
          <w:tcPr>
            <w:tcW w:type="dxa" w:w="16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b w:val="false"/>
                <w:bCs w:val="false"/>
              </w:rPr>
              <w:t xml:space="preserve">+0.0052</w:t>
            </w:r>
          </w:p>
        </w:tc>
      </w:tr>
      <w:tr>
        <w:tc>
          <w:tcPr>
            <w:tcW w:type="dxa" w:w="8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b w:val="false"/>
                <w:bCs w:val="false"/>
              </w:rPr>
              <w:t xml:space="preserve">6</w:t>
            </w:r>
          </w:p>
        </w:tc>
        <w:tc>
          <w:tcPr>
            <w:tcW w:type="dxa" w:w="422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b w:val="false"/>
                <w:bCs w:val="false"/>
              </w:rPr>
              <w:t xml:space="preserve">orats_scorable_strikes_T1  (COVERAGE INDICATOR)</w:t>
            </w:r>
          </w:p>
        </w:tc>
        <w:tc>
          <w:tcPr>
            <w:tcW w:type="dxa" w:w="168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b w:val="false"/>
                <w:bCs w:val="false"/>
              </w:rPr>
              <w:t xml:space="preserve">0.9111</w:t>
            </w:r>
          </w:p>
        </w:tc>
        <w:tc>
          <w:tcPr>
            <w:tcW w:type="dxa" w:w="16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b w:val="false"/>
                <w:bCs w:val="false"/>
              </w:rPr>
              <w:t xml:space="preserve">+0.0052</w:t>
            </w:r>
          </w:p>
        </w:tc>
      </w:tr>
      <w:tr>
        <w:tc>
          <w:tcPr>
            <w:tcW w:type="dxa" w:w="8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b w:val="false"/>
                <w:bCs w:val="false"/>
              </w:rPr>
              <w:t xml:space="preserve">7</w:t>
            </w:r>
          </w:p>
        </w:tc>
        <w:tc>
          <w:tcPr>
            <w:tcW w:type="dxa" w:w="422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b w:val="false"/>
                <w:bCs w:val="false"/>
              </w:rPr>
              <w:t xml:space="preserve">orats_fwd60_30_T7  (forward IV 60→30 at T-7)</w:t>
            </w:r>
          </w:p>
        </w:tc>
        <w:tc>
          <w:tcPr>
            <w:tcW w:type="dxa" w:w="168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b w:val="false"/>
                <w:bCs w:val="false"/>
              </w:rPr>
              <w:t xml:space="preserve">0.9155</w:t>
            </w:r>
          </w:p>
        </w:tc>
        <w:tc>
          <w:tcPr>
            <w:tcW w:type="dxa" w:w="16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b w:val="false"/>
                <w:bCs w:val="false"/>
              </w:rPr>
              <w:t xml:space="preserve">+0.0044</w:t>
            </w:r>
          </w:p>
        </w:tc>
      </w:tr>
      <w:tr>
        <w:tc>
          <w:tcPr>
            <w:tcW w:type="dxa" w:w="8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b w:val="false"/>
                <w:bCs w:val="false"/>
              </w:rPr>
              <w:t xml:space="preserve">8</w:t>
            </w:r>
          </w:p>
        </w:tc>
        <w:tc>
          <w:tcPr>
            <w:tcW w:type="dxa" w:w="422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b w:val="false"/>
                <w:bCs w:val="false"/>
              </w:rPr>
              <w:t xml:space="preserve">no candidate clears +0.002 gate (best +0.0020)</w:t>
            </w:r>
          </w:p>
        </w:tc>
        <w:tc>
          <w:tcPr>
            <w:tcW w:type="dxa" w:w="168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b w:val="false"/>
                <w:bCs w:val="false"/>
              </w:rPr>
              <w:t xml:space="preserve">—</w:t>
            </w:r>
          </w:p>
        </w:tc>
        <w:tc>
          <w:tcPr>
            <w:tcW w:type="dxa" w:w="16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b w:val="false"/>
                <w:bCs w:val="false"/>
              </w:rPr>
              <w:t xml:space="preserve">STOP</w:t>
            </w:r>
          </w:p>
        </w:tc>
      </w:tr>
    </w:tbl>
    <w:p>
      <w:pPr>
        <w:spacing w:after="120"/>
      </w:pPr>
      <w:r>
        <w:t xml:space="preserve">The round 6 pick is the tell. orats_scorable_strikes_T1 is a binary coverage indicator, not a substantive options feature. It adds +0.0052 val lift purely by partitioning events into “has T-1 strikes” vs “does not.” This is precisely the dataset-partitioning artifact the T-14-only pre-screen first hinted at. The round 5 and round 7 picks (fwd60_30_T14 and fwd60_30_T7) are the same forward-curve primitive at different snapshots — the incremental signal after the T-14 version is already in the model is very likely the coverage difference between snapshots rather than a true term-structure lift.</w:t>
      </w:r>
    </w:p>
    <w:p>
      <w:pPr>
        <w:pStyle w:val="Heading2"/>
        <w:spacing w:after="100" w:before="200"/>
      </w:pPr>
      <w:r>
        <w:rPr>
          <w:b/>
          <w:bCs/>
          <w:sz w:val="26"/>
          <w:szCs w:val="26"/>
        </w:rPr>
        <w:t xml:space="preserve">Architecture sweep</w:t>
      </w:r>
    </w:p>
    <w:p>
      <w:pPr>
        <w:spacing w:after="120"/>
      </w:pPr>
      <w:r>
        <w:t xml:space="preserve">Ridge-only (weights 1.0 / 0.0 / 0.0) wins val AUC 0.9155. Adding GBM and LightGBM weights monotonically hurts val, same pattern as v5.8. GBM and LightGBM do not add signal at this feature count / sample size under honest discipline.</w:t>
      </w:r>
    </w:p>
    <w:tbl>
      <w:tblPr>
        <w:tblW w:type="dxa" w:w="8360"/>
        <w:tblBorders>
          <w:top w:val="single" w:color="auto" w:sz="4"/>
          <w:left w:val="single" w:color="auto" w:sz="4"/>
          <w:bottom w:val="single" w:color="auto" w:sz="4"/>
          <w:right w:val="single" w:color="auto" w:sz="4"/>
          <w:insideH w:val="single" w:color="auto" w:sz="4"/>
          <w:insideV w:val="single" w:color="auto" w:sz="4"/>
        </w:tblBorders>
      </w:tblPr>
      <w:tblGrid>
        <w:gridCol w:w="2600"/>
        <w:gridCol w:w="1900"/>
        <w:gridCol w:w="1900"/>
        <w:gridCol w:w="1960"/>
      </w:tblGrid>
      <w:tr>
        <w:trPr>
          <w:tblHeader/>
        </w:trPr>
        <w:tc>
          <w:tcPr>
            <w:tcW w:type="dxa" w:w="2600"/>
            <w:tcBorders>
              <w:top w:val="single" w:color="AAAAAA" w:sz="1"/>
              <w:left w:val="single" w:color="AAAAAA" w:sz="1"/>
              <w:bottom w:val="single" w:color="AAAAAA" w:sz="1"/>
              <w:right w:val="single" w:color="AAAAAA" w:sz="1"/>
            </w:tcBorders>
            <w:shd w:fill="DCE6F1" w:val="clear"/>
            <w:tcMar>
              <w:top w:type="dxa" w:w="80"/>
              <w:left w:type="dxa" w:w="120"/>
              <w:bottom w:type="dxa" w:w="80"/>
              <w:right w:type="dxa" w:w="120"/>
            </w:tcMar>
          </w:tcPr>
          <w:p>
            <w:r>
              <w:rPr>
                <w:b/>
                <w:bCs/>
              </w:rPr>
              <w:t xml:space="preserve">Ridge / GBM / LGB weights</w:t>
            </w:r>
          </w:p>
        </w:tc>
        <w:tc>
          <w:tcPr>
            <w:tcW w:type="dxa" w:w="1900"/>
            <w:tcBorders>
              <w:top w:val="single" w:color="AAAAAA" w:sz="1"/>
              <w:left w:val="single" w:color="AAAAAA" w:sz="1"/>
              <w:bottom w:val="single" w:color="AAAAAA" w:sz="1"/>
              <w:right w:val="single" w:color="AAAAAA" w:sz="1"/>
            </w:tcBorders>
            <w:shd w:fill="DCE6F1" w:val="clear"/>
            <w:tcMar>
              <w:top w:type="dxa" w:w="80"/>
              <w:left w:type="dxa" w:w="120"/>
              <w:bottom w:type="dxa" w:w="80"/>
              <w:right w:type="dxa" w:w="120"/>
            </w:tcMar>
          </w:tcPr>
          <w:p>
            <w:r>
              <w:rPr>
                <w:b/>
                <w:bCs/>
              </w:rPr>
              <w:t xml:space="preserve">Val AUC</w:t>
            </w:r>
          </w:p>
        </w:tc>
        <w:tc>
          <w:tcPr>
            <w:tcW w:type="dxa" w:w="1900"/>
            <w:tcBorders>
              <w:top w:val="single" w:color="AAAAAA" w:sz="1"/>
              <w:left w:val="single" w:color="AAAAAA" w:sz="1"/>
              <w:bottom w:val="single" w:color="AAAAAA" w:sz="1"/>
              <w:right w:val="single" w:color="AAAAAA" w:sz="1"/>
            </w:tcBorders>
            <w:shd w:fill="DCE6F1" w:val="clear"/>
            <w:tcMar>
              <w:top w:type="dxa" w:w="80"/>
              <w:left w:type="dxa" w:w="120"/>
              <w:bottom w:type="dxa" w:w="80"/>
              <w:right w:type="dxa" w:w="120"/>
            </w:tcMar>
          </w:tcPr>
          <w:p>
            <w:r>
              <w:rPr>
                <w:b/>
                <w:bCs/>
              </w:rPr>
              <w:t xml:space="preserve">Δ vs Ridge-only</w:t>
            </w:r>
          </w:p>
        </w:tc>
        <w:tc>
          <w:tcPr>
            <w:tcW w:type="dxa" w:w="1960"/>
            <w:tcBorders>
              <w:top w:val="single" w:color="AAAAAA" w:sz="1"/>
              <w:left w:val="single" w:color="AAAAAA" w:sz="1"/>
              <w:bottom w:val="single" w:color="AAAAAA" w:sz="1"/>
              <w:right w:val="single" w:color="AAAAAA" w:sz="1"/>
            </w:tcBorders>
            <w:shd w:fill="DCE6F1" w:val="clear"/>
            <w:tcMar>
              <w:top w:type="dxa" w:w="80"/>
              <w:left w:type="dxa" w:w="120"/>
              <w:bottom w:type="dxa" w:w="80"/>
              <w:right w:type="dxa" w:w="120"/>
            </w:tcMar>
          </w:tcPr>
          <w:p>
            <w:r>
              <w:rPr>
                <w:b/>
                <w:bCs/>
              </w:rPr>
              <w:t xml:space="preserve">Verdict</w:t>
            </w:r>
          </w:p>
        </w:tc>
      </w:tr>
      <w:tr>
        <w:tc>
          <w:tcPr>
            <w:tcW w:type="dxa" w:w="26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b w:val="false"/>
                <w:bCs w:val="false"/>
              </w:rPr>
              <w:t xml:space="preserve">1.00 / 0.00 / 0.00  (Ridge only)</w:t>
            </w:r>
          </w:p>
        </w:tc>
        <w:tc>
          <w:tcPr>
            <w:tcW w:type="dxa" w:w="19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b w:val="false"/>
                <w:bCs w:val="false"/>
              </w:rPr>
              <w:t xml:space="preserve">0.9155</w:t>
            </w:r>
          </w:p>
        </w:tc>
        <w:tc>
          <w:tcPr>
            <w:tcW w:type="dxa" w:w="19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b w:val="false"/>
                <w:bCs w:val="false"/>
              </w:rPr>
              <w:t xml:space="preserve">+0.0000</w:t>
            </w:r>
          </w:p>
        </w:tc>
        <w:tc>
          <w:tcPr>
            <w:tcW w:type="dxa" w:w="19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b w:val="false"/>
                <w:bCs w:val="false"/>
              </w:rPr>
              <w:t xml:space="preserve">WINNER</w:t>
            </w:r>
          </w:p>
        </w:tc>
      </w:tr>
      <w:tr>
        <w:tc>
          <w:tcPr>
            <w:tcW w:type="dxa" w:w="26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b w:val="false"/>
                <w:bCs w:val="false"/>
              </w:rPr>
              <w:t xml:space="preserve">0.90 / 0.05 / 0.05</w:t>
            </w:r>
          </w:p>
        </w:tc>
        <w:tc>
          <w:tcPr>
            <w:tcW w:type="dxa" w:w="19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b w:val="false"/>
                <w:bCs w:val="false"/>
              </w:rPr>
              <w:t xml:space="preserve">0.9135</w:t>
            </w:r>
          </w:p>
        </w:tc>
        <w:tc>
          <w:tcPr>
            <w:tcW w:type="dxa" w:w="19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b w:val="false"/>
                <w:bCs w:val="false"/>
              </w:rPr>
              <w:t xml:space="preserve">−0.0020</w:t>
            </w:r>
          </w:p>
        </w:tc>
        <w:tc>
          <w:tcPr>
            <w:tcW w:type="dxa" w:w="19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b w:val="false"/>
                <w:bCs w:val="false"/>
              </w:rPr>
              <w:t xml:space="preserve">hurt</w:t>
            </w:r>
          </w:p>
        </w:tc>
      </w:tr>
      <w:tr>
        <w:tc>
          <w:tcPr>
            <w:tcW w:type="dxa" w:w="26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b w:val="false"/>
                <w:bCs w:val="false"/>
              </w:rPr>
              <w:t xml:space="preserve">0.80 / 0.10 / 0.10</w:t>
            </w:r>
          </w:p>
        </w:tc>
        <w:tc>
          <w:tcPr>
            <w:tcW w:type="dxa" w:w="19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b w:val="false"/>
                <w:bCs w:val="false"/>
              </w:rPr>
              <w:t xml:space="preserve">0.9113</w:t>
            </w:r>
          </w:p>
        </w:tc>
        <w:tc>
          <w:tcPr>
            <w:tcW w:type="dxa" w:w="19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b w:val="false"/>
                <w:bCs w:val="false"/>
              </w:rPr>
              <w:t xml:space="preserve">−0.0042</w:t>
            </w:r>
          </w:p>
        </w:tc>
        <w:tc>
          <w:tcPr>
            <w:tcW w:type="dxa" w:w="19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b w:val="false"/>
                <w:bCs w:val="false"/>
              </w:rPr>
              <w:t xml:space="preserve">hurt</w:t>
            </w:r>
          </w:p>
        </w:tc>
      </w:tr>
      <w:tr>
        <w:tc>
          <w:tcPr>
            <w:tcW w:type="dxa" w:w="26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b w:val="false"/>
                <w:bCs w:val="false"/>
              </w:rPr>
              <w:t xml:space="preserve">0.70 / 0.15 / 0.15</w:t>
            </w:r>
          </w:p>
        </w:tc>
        <w:tc>
          <w:tcPr>
            <w:tcW w:type="dxa" w:w="19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b w:val="false"/>
                <w:bCs w:val="false"/>
              </w:rPr>
              <w:t xml:space="preserve">0.9093</w:t>
            </w:r>
          </w:p>
        </w:tc>
        <w:tc>
          <w:tcPr>
            <w:tcW w:type="dxa" w:w="19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b w:val="false"/>
                <w:bCs w:val="false"/>
              </w:rPr>
              <w:t xml:space="preserve">−0.0062</w:t>
            </w:r>
          </w:p>
        </w:tc>
        <w:tc>
          <w:tcPr>
            <w:tcW w:type="dxa" w:w="19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b w:val="false"/>
                <w:bCs w:val="false"/>
              </w:rPr>
              <w:t xml:space="preserve">hurt</w:t>
            </w:r>
          </w:p>
        </w:tc>
      </w:tr>
      <w:tr>
        <w:tc>
          <w:tcPr>
            <w:tcW w:type="dxa" w:w="26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b w:val="false"/>
                <w:bCs w:val="false"/>
              </w:rPr>
              <w:t xml:space="preserve">0.60 / 0.20 / 0.20</w:t>
            </w:r>
          </w:p>
        </w:tc>
        <w:tc>
          <w:tcPr>
            <w:tcW w:type="dxa" w:w="19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b w:val="false"/>
                <w:bCs w:val="false"/>
              </w:rPr>
              <w:t xml:space="preserve">0.9045</w:t>
            </w:r>
          </w:p>
        </w:tc>
        <w:tc>
          <w:tcPr>
            <w:tcW w:type="dxa" w:w="19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b w:val="false"/>
                <w:bCs w:val="false"/>
              </w:rPr>
              <w:t xml:space="preserve">−0.0110</w:t>
            </w:r>
          </w:p>
        </w:tc>
        <w:tc>
          <w:tcPr>
            <w:tcW w:type="dxa" w:w="19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b w:val="false"/>
                <w:bCs w:val="false"/>
              </w:rPr>
              <w:t xml:space="preserve">hurt</w:t>
            </w:r>
          </w:p>
        </w:tc>
      </w:tr>
      <w:tr>
        <w:tc>
          <w:tcPr>
            <w:tcW w:type="dxa" w:w="26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b w:val="false"/>
                <w:bCs w:val="false"/>
              </w:rPr>
              <w:t xml:space="preserve">0.50 / 0.25 / 0.25</w:t>
            </w:r>
          </w:p>
        </w:tc>
        <w:tc>
          <w:tcPr>
            <w:tcW w:type="dxa" w:w="19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b w:val="false"/>
                <w:bCs w:val="false"/>
              </w:rPr>
              <w:t xml:space="preserve">0.9017</w:t>
            </w:r>
          </w:p>
        </w:tc>
        <w:tc>
          <w:tcPr>
            <w:tcW w:type="dxa" w:w="19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b w:val="false"/>
                <w:bCs w:val="false"/>
              </w:rPr>
              <w:t xml:space="preserve">−0.0138</w:t>
            </w:r>
          </w:p>
        </w:tc>
        <w:tc>
          <w:tcPr>
            <w:tcW w:type="dxa" w:w="19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b w:val="false"/>
                <w:bCs w:val="false"/>
              </w:rPr>
              <w:t xml:space="preserve">hurt</w:t>
            </w:r>
          </w:p>
        </w:tc>
      </w:tr>
    </w:tbl>
    <w:p>
      <w:pPr>
        <w:pStyle w:val="Heading1"/>
        <w:spacing w:after="120" w:before="240"/>
      </w:pPr>
      <w:r>
        <w:rPr>
          <w:b/>
          <w:bCs/>
          <w:sz w:val="32"/>
          <w:szCs w:val="32"/>
        </w:rPr>
        <w:t xml:space="preserve">Final test</w:t>
      </w:r>
    </w:p>
    <w:p>
      <w:pPr>
        <w:spacing w:after="120"/>
      </w:pPr>
      <w:r>
        <w:t xml:space="preserve">Ridge-only on the 67-feature set, test touched once. AUC 0.8657 [CI95 0.8180, 0.9101]. Ensemble and Ridge-only are identical by construction (ensemble winner = Ridge-only). The honest bar is v5.6 at 0.8861. Point estimate sits 2.04 pp below the bar; the 95% CI spans it. Promote gate (CI_lo &gt; 0.8861 + 0.002) not met. NOT PROMOTED. No deploy file written.</w:t>
      </w:r>
    </w:p>
    <w:p>
      <w:pPr>
        <w:pStyle w:val="Heading1"/>
        <w:spacing w:after="120" w:before="240"/>
      </w:pPr>
      <w:r>
        <w:rPr>
          <w:b/>
          <w:bCs/>
          <w:sz w:val="32"/>
          <w:szCs w:val="32"/>
        </w:rPr>
        <w:t xml:space="preserve">Why ORATS didn’t lift</w:t>
      </w:r>
    </w:p>
    <w:p>
      <w:pPr>
        <w:pStyle w:val="ListParagraph"/>
        <w:numPr>
          <w:ilvl w:val="0"/>
          <w:numId w:val="2"/>
        </w:numPr>
        <w:spacing w:after="80"/>
      </w:pPr>
      <w:r>
        <w:t xml:space="preserve">Val-to-test collapse is 4.98 pp (val 0.9155 → test 0.8657) — the largest honest-split generalization gap seen on BIFROST Explosion to date. v5.8 gap was 4.53 pp (val 0.9124 → test 0.8671). ORATS candidates overfit the val set harder than v5.8’s local features did.</w:t>
      </w:r>
    </w:p>
    <w:p>
      <w:pPr>
        <w:pStyle w:val="ListParagraph"/>
        <w:numPr>
          <w:ilvl w:val="0"/>
          <w:numId w:val="2"/>
        </w:numPr>
        <w:spacing w:after="80"/>
      </w:pPr>
      <w:r>
        <w:t xml:space="preserve">The greedy selection’s round-6 coverage-indicator pick is a smoking gun — val gains are partly explained by which events have ORATS coverage, not by what the ORATS IV features themselves predict. This is an artifact of the Stage 2 halt creating non-uniform coverage: train=37% fully covered, val=89%, test=56%.</w:t>
      </w:r>
    </w:p>
    <w:p>
      <w:pPr>
        <w:pStyle w:val="ListParagraph"/>
        <w:numPr>
          <w:ilvl w:val="0"/>
          <w:numId w:val="2"/>
        </w:numPr>
        <w:spacing w:after="80"/>
      </w:pPr>
      <w:r>
        <w:t xml:space="preserve">The IV surface signal that ORATS measures (term structure, skew, forward curve, rVol) is already partially absorbed by v5.5’s existing market-microstructure features: log_float_inv, pct_float_short, days_to_cover, drift_magnitude, vol_ratio, runup_7d/30d, xbi_return_30d, xbi_x_surprise. The 60-feature baseline already captures the “market is nervous” signal that options IV expansion also captures.</w:t>
      </w:r>
    </w:p>
    <w:p>
      <w:pPr>
        <w:pStyle w:val="ListParagraph"/>
        <w:numPr>
          <w:ilvl w:val="0"/>
          <w:numId w:val="2"/>
        </w:numPr>
        <w:spacing w:after="80"/>
      </w:pPr>
      <w:r>
        <w:t xml:space="preserve">Explosion events are FDA-decision-driven, not IV-calendar-driven. A +30–60% IV expansion window in the 14 days before the event is real but so common across all PDUFA events that it doesn’t discriminate the 10% that actually explode from the 90% that don’t. The IV expansion itself is priced into every event.</w:t>
      </w:r>
    </w:p>
    <w:p>
      <w:pPr>
        <w:pStyle w:val="Heading1"/>
        <w:spacing w:after="120" w:before="240"/>
      </w:pPr>
      <w:r>
        <w:rPr>
          <w:b/>
          <w:bCs/>
          <w:sz w:val="32"/>
          <w:szCs w:val="32"/>
        </w:rPr>
        <w:t xml:space="preserve">Data disclosures</w:t>
      </w:r>
    </w:p>
    <w:p>
      <w:pPr>
        <w:pStyle w:val="ListParagraph"/>
        <w:numPr>
          <w:ilvl w:val="0"/>
          <w:numId w:val="2"/>
        </w:numPr>
        <w:spacing w:after="80"/>
      </w:pPr>
      <w:r>
        <w:t xml:space="preserve">Stage 2 full 11-endpoint pull: events 0–1299, covered T-14, T-7, T-1 with /hist/summaries + /hist/strikes + /hist/skew + /hist/forwards + /hist/percentile + supporting endpoints. Halted at event 1299 per API-limit directive.</w:t>
      </w:r>
    </w:p>
    <w:p>
      <w:pPr>
        <w:pStyle w:val="ListParagraph"/>
        <w:numPr>
          <w:ilvl w:val="0"/>
          <w:numId w:val="2"/>
        </w:numPr>
        <w:spacing w:after="80"/>
      </w:pPr>
      <w:r>
        <w:t xml:space="preserve">Stage 2B skinny 2-endpoint pull: events 1300–1648 (the 2025–2026 test set), T-14 only, /hist/summaries + /hist/strikes. Wall time 8.7 min, 636 new API calls, 141 errors (small-cap tickers with no ORATS data). 277/349 events fully cached. Progress checkpointed every 50 events.</w:t>
      </w:r>
    </w:p>
    <w:p>
      <w:pPr>
        <w:pStyle w:val="ListParagraph"/>
        <w:numPr>
          <w:ilvl w:val="0"/>
          <w:numId w:val="2"/>
        </w:numPr>
        <w:spacing w:after="80"/>
      </w:pPr>
      <w:r>
        <w:t xml:space="preserve">All scorable_* coverage indicators are ex-ante observable (whether ORATS has the snapshot for a ticker / date is known pre-catalyst).</w:t>
      </w:r>
    </w:p>
    <w:p>
      <w:pPr>
        <w:pStyle w:val="ListParagraph"/>
        <w:numPr>
          <w:ilvl w:val="0"/>
          <w:numId w:val="2"/>
        </w:numPr>
        <w:spacing w:after="80"/>
      </w:pPr>
      <w:r>
        <w:t xml:space="preserve">ORATS retrieval is NOT look-ahead: every call requested tradeDate = pdufa_date − BDay(N) for N ∈ {14, 7, 1}, and all feature aggregates are snapshotted to that date. No outcome information enters the ORATS path.</w:t>
      </w:r>
    </w:p>
    <w:p>
      <w:pPr>
        <w:pStyle w:val="ListParagraph"/>
        <w:numPr>
          <w:ilvl w:val="0"/>
          <w:numId w:val="2"/>
        </w:numPr>
        <w:spacing w:after="80"/>
      </w:pPr>
      <w:r>
        <w:t xml:space="preserve">Pipeline still has the SI-lookahead caveat noted in the v5.5 audit — short interest is a single April 2026 snapshot applied retroactively to all 1,704 events. v5.9 does not address this. Any future honest lift must re-run against the 2015–2026 historical SI panel once it’s ingested.</w:t>
      </w:r>
    </w:p>
    <w:p>
      <w:pPr>
        <w:pStyle w:val="Heading1"/>
        <w:spacing w:after="120" w:before="240"/>
      </w:pPr>
      <w:r>
        <w:rPr>
          <w:b/>
          <w:bCs/>
          <w:sz w:val="32"/>
          <w:szCs w:val="32"/>
        </w:rPr>
        <w:t xml:space="preserve">Verdict</w:t>
      </w:r>
    </w:p>
    <w:p>
      <w:pPr>
        <w:spacing w:after="120"/>
      </w:pPr>
      <w:r>
        <w:t xml:space="preserve">REGRESSION. Hold v5.5 deployment. ORATS historical options panel does NOT beat the v5.6/v5.8 honest bar, even with 128 IV / skew / forward-curve / strikes-aggregate candidates, honest greedy forward selection, and full architecture sweep. Some of the greedy-selection val gain is a dataset-partitioning artifact (round 6 coverage indicator pick). The core ORATS features (term structure, skew, forward curve) do not generalize from val to test.</w:t>
      </w:r>
    </w:p>
    <w:p>
      <w:pPr>
        <w:pStyle w:val="Heading1"/>
        <w:spacing w:after="120" w:before="240"/>
      </w:pPr>
      <w:r>
        <w:rPr>
          <w:b/>
          <w:bCs/>
          <w:sz w:val="32"/>
          <w:szCs w:val="32"/>
        </w:rPr>
        <w:t xml:space="preserve">Pattern update — 9th consecutive honest Kaizen NULL</w:t>
      </w:r>
    </w:p>
    <w:p>
      <w:pPr>
        <w:spacing w:after="120"/>
      </w:pPr>
      <w:r>
        <w:t xml:space="preserve">With v5.9, the honest-Kaizen NULL streak reaches nine across three engines:</w:t>
      </w:r>
    </w:p>
    <w:p>
      <w:pPr>
        <w:pStyle w:val="ListParagraph"/>
        <w:numPr>
          <w:ilvl w:val="0"/>
          <w:numId w:val="2"/>
        </w:numPr>
        <w:spacing w:after="80"/>
      </w:pPr>
      <w:r>
        <w:t xml:space="preserve">BIFROST Explosion v5.7 — non-linear transforms + cross-window ratios (April 2026)</w:t>
      </w:r>
    </w:p>
    <w:p>
      <w:pPr>
        <w:pStyle w:val="ListParagraph"/>
        <w:numPr>
          <w:ilvl w:val="0"/>
          <w:numId w:val="2"/>
        </w:numPr>
        <w:spacing w:after="80"/>
      </w:pPr>
      <w:r>
        <w:t xml:space="preserve">BIFROST Explosion v5.8 — architecture + 37 local features (April 2026)</w:t>
      </w:r>
    </w:p>
    <w:p>
      <w:pPr>
        <w:pStyle w:val="ListParagraph"/>
        <w:numPr>
          <w:ilvl w:val="0"/>
          <w:numId w:val="2"/>
        </w:numPr>
        <w:spacing w:after="80"/>
      </w:pPr>
      <w:r>
        <w:t xml:space="preserve">Gungnir v47 — backward elimination under honest 4-way split (April 2026)</w:t>
      </w:r>
    </w:p>
    <w:p>
      <w:pPr>
        <w:pStyle w:val="ListParagraph"/>
        <w:numPr>
          <w:ilvl w:val="0"/>
          <w:numId w:val="2"/>
        </w:numPr>
        <w:spacing w:after="80"/>
      </w:pPr>
      <w:r>
        <w:t xml:space="preserve">ODIN v17 — HINT Phase I/II/III trial-success priors (April 2026)</w:t>
      </w:r>
    </w:p>
    <w:p>
      <w:pPr>
        <w:pStyle w:val="ListParagraph"/>
        <w:numPr>
          <w:ilvl w:val="0"/>
          <w:numId w:val="2"/>
        </w:numPr>
        <w:spacing w:after="80"/>
      </w:pPr>
      <w:r>
        <w:t xml:space="preserve">Smart Money Phase 3 — god-tier 13F time series on ODIN (April 2026)</w:t>
      </w:r>
    </w:p>
    <w:p>
      <w:pPr>
        <w:pStyle w:val="ListParagraph"/>
        <w:numPr>
          <w:ilvl w:val="0"/>
          <w:numId w:val="2"/>
        </w:numPr>
        <w:spacing w:after="80"/>
      </w:pPr>
      <w:r>
        <w:t xml:space="preserve">Short Interest × ODIN — FINRA biweekly 2017–2026 on ODIN (April 2026)</w:t>
      </w:r>
    </w:p>
    <w:p>
      <w:pPr>
        <w:pStyle w:val="ListParagraph"/>
        <w:numPr>
          <w:ilvl w:val="0"/>
          <w:numId w:val="2"/>
        </w:numPr>
        <w:spacing w:after="80"/>
      </w:pPr>
      <w:r>
        <w:t xml:space="preserve">Short Interest × Gungnir — FINRA biweekly 2017–2026 on Gungnir (April 2026)</w:t>
      </w:r>
    </w:p>
    <w:p>
      <w:pPr>
        <w:pStyle w:val="ListParagraph"/>
        <w:numPr>
          <w:ilvl w:val="0"/>
          <w:numId w:val="2"/>
        </w:numPr>
        <w:spacing w:after="80"/>
      </w:pPr>
      <w:r>
        <w:t xml:space="preserve">BIFROST Explosion v5.9 — ORATS historical options panel (this memo)</w:t>
      </w:r>
    </w:p>
    <w:p>
      <w:pPr>
        <w:pStyle w:val="ListParagraph"/>
        <w:numPr>
          <w:ilvl w:val="0"/>
          <w:numId w:val="2"/>
        </w:numPr>
        <w:spacing w:after="80"/>
      </w:pPr>
      <w:r>
        <w:t xml:space="preserve">Smart Money Q2 expansion candidates — already pre-screened NULL</w:t>
      </w:r>
    </w:p>
    <w:p>
      <w:pPr>
        <w:spacing w:after="120"/>
      </w:pPr>
      <w:r>
        <w:t xml:space="preserve">The pattern is now decisive. Locally-computable features on the current event datasets are SATURATED for all three engines (PDUFA outcome, phase readout, |move|&gt;25% explosion). Further feature engineering on existing primitives is expected to keep producing null results.</w:t>
      </w:r>
    </w:p>
    <w:p>
      <w:pPr>
        <w:pStyle w:val="Heading1"/>
        <w:spacing w:after="120" w:before="240"/>
      </w:pPr>
      <w:r>
        <w:rPr>
          <w:b/>
          <w:bCs/>
          <w:sz w:val="32"/>
          <w:szCs w:val="32"/>
        </w:rPr>
        <w:t xml:space="preserve">What actually has a path to a true lift</w:t>
      </w:r>
    </w:p>
    <w:p>
      <w:pPr>
        <w:spacing w:after="120"/>
      </w:pPr>
      <w:r>
        <w:t xml:space="preserve">In descending order of information value (based on what’s been ruled out):</w:t>
      </w:r>
    </w:p>
    <w:p>
      <w:pPr>
        <w:pStyle w:val="ListParagraph"/>
        <w:numPr>
          <w:ilvl w:val="0"/>
          <w:numId w:val="2"/>
        </w:numPr>
        <w:spacing w:after="80"/>
      </w:pPr>
      <w:r>
        <w:t xml:space="preserve">Form 4 historical insider time series 2015–2026 (NOT yet tested — truly orthogonal signal family). Queued as backlog #103–#107.</w:t>
      </w:r>
    </w:p>
    <w:p>
      <w:pPr>
        <w:pStyle w:val="ListParagraph"/>
        <w:numPr>
          <w:ilvl w:val="0"/>
          <w:numId w:val="2"/>
        </w:numPr>
        <w:spacing w:after="80"/>
      </w:pPr>
      <w:r>
        <w:t xml:space="preserve">Conference presentation backfill 2020–2024 for honest Conference × Explosion interaction test. Current conference data is forward-only (Apr/May 2026).</w:t>
      </w:r>
    </w:p>
    <w:p>
      <w:pPr>
        <w:pStyle w:val="ListParagraph"/>
        <w:numPr>
          <w:ilvl w:val="0"/>
          <w:numId w:val="2"/>
        </w:numPr>
        <w:spacing w:after="80"/>
      </w:pPr>
      <w:r>
        <w:t xml:space="preserve">ORATS historical options panel TRUE honest test — refill train-set events (0–1299) with the same skinny T-14 footprint used on events 1300–1648, so coverage is uniform across train / val / test. The current v5.9 coverage asymmetry (37% / 89% / 56%) is a methodology flaw that could be fixed by back-filling train events to T-14-only and re-running.</w:t>
      </w:r>
    </w:p>
    <w:p>
      <w:pPr>
        <w:pStyle w:val="ListParagraph"/>
        <w:numPr>
          <w:ilvl w:val="0"/>
          <w:numId w:val="2"/>
        </w:numPr>
        <w:spacing w:after="80"/>
      </w:pPr>
      <w:r>
        <w:t xml:space="preserve">Social-volume ingestion (StockTwits / Reddit historical scrapes).</w:t>
      </w:r>
    </w:p>
    <w:p>
      <w:pPr>
        <w:pStyle w:val="ListParagraph"/>
        <w:numPr>
          <w:ilvl w:val="0"/>
          <w:numId w:val="2"/>
        </w:numPr>
        <w:spacing w:after="80"/>
      </w:pPr>
      <w:r>
        <w:t xml:space="preserve">SENTINEL social panel expansion beyond its current forward-only window.</w:t>
      </w:r>
    </w:p>
    <w:p>
      <w:pPr>
        <w:pStyle w:val="ListParagraph"/>
        <w:numPr>
          <w:ilvl w:val="0"/>
          <w:numId w:val="2"/>
        </w:numPr>
        <w:spacing w:after="80"/>
      </w:pPr>
      <w:r>
        <w:t xml:space="preserve">FinRegistry / RegInfo submission / ADCOM stream features.</w:t>
      </w:r>
    </w:p>
    <w:p>
      <w:pPr>
        <w:pStyle w:val="Heading1"/>
        <w:spacing w:after="120" w:before="240"/>
      </w:pPr>
      <w:r>
        <w:rPr>
          <w:b/>
          <w:bCs/>
          <w:sz w:val="32"/>
          <w:szCs w:val="32"/>
        </w:rPr>
        <w:t xml:space="preserve">Action items</w:t>
      </w:r>
    </w:p>
    <w:p>
      <w:pPr>
        <w:pStyle w:val="ListParagraph"/>
        <w:numPr>
          <w:ilvl w:val="0"/>
          <w:numId w:val="2"/>
        </w:numPr>
        <w:spacing w:after="80"/>
      </w:pPr>
      <w:r>
        <w:t xml:space="preserve">HOLD v5.5 deployment — still champion for BIFROST Explosion scoring across ODIN/Gungnir portfolio decisions.</w:t>
      </w:r>
    </w:p>
    <w:p>
      <w:pPr>
        <w:pStyle w:val="ListParagraph"/>
        <w:numPr>
          <w:ilvl w:val="0"/>
          <w:numId w:val="2"/>
        </w:numPr>
        <w:spacing w:after="80"/>
      </w:pPr>
      <w:r>
        <w:t xml:space="preserve">Do NOT re-run ORATS candidates on the same coverage matrix — dataset-partitioning artifacts will not resolve without uniform coverage.</w:t>
      </w:r>
    </w:p>
    <w:p>
      <w:pPr>
        <w:pStyle w:val="ListParagraph"/>
        <w:numPr>
          <w:ilvl w:val="0"/>
          <w:numId w:val="2"/>
        </w:numPr>
        <w:spacing w:after="80"/>
      </w:pPr>
      <w:r>
        <w:t xml:space="preserve">Optional: rerun v5.9 after back-filling train-set events (0–1299) to skinny T-14 only, so coverage is uniform (≥79%) across train / val / test. This removes the round-6 coverage-indicator artifact and tests whether the ORATS IV features themselves carry signal. Estimated cost: ~2,600 additional API calls — within budget if rate-limited over 1 day.</w:t>
      </w:r>
    </w:p>
    <w:p>
      <w:pPr>
        <w:pStyle w:val="ListParagraph"/>
        <w:numPr>
          <w:ilvl w:val="0"/>
          <w:numId w:val="2"/>
        </w:numPr>
        <w:spacing w:after="80"/>
      </w:pPr>
      <w:r>
        <w:t xml:space="preserve">Pivot next Kaizen to Form 4 historical insider time series (tasks #103–#107).</w:t>
      </w:r>
    </w:p>
    <w:p>
      <w:pPr>
        <w:pStyle w:val="ListParagraph"/>
        <w:numPr>
          <w:ilvl w:val="0"/>
          <w:numId w:val="2"/>
        </w:numPr>
        <w:spacing w:after="80"/>
      </w:pPr>
      <w:r>
        <w:t xml:space="preserve">No changes to Q2 2026 portfolio stack — v5.5 explosion multiplier remains active on GRCE, WHWK, CRDF, CABA, ALXO per cross-engine scorecard v1.0.</w:t>
      </w:r>
    </w:p>
    <w:p>
      <w:pPr>
        <w:pStyle w:val="Heading1"/>
        <w:spacing w:after="120" w:before="240"/>
      </w:pPr>
      <w:r>
        <w:rPr>
          <w:b/>
          <w:bCs/>
          <w:sz w:val="32"/>
          <w:szCs w:val="32"/>
        </w:rPr>
        <w:t xml:space="preserve">Files</w:t>
      </w:r>
    </w:p>
    <w:p>
      <w:pPr>
        <w:pStyle w:val="ListParagraph"/>
        <w:numPr>
          <w:ilvl w:val="0"/>
          <w:numId w:val="2"/>
        </w:numPr>
        <w:spacing w:after="80"/>
      </w:pPr>
      <w:r>
        <w:t xml:space="preserve">phase3_orats_stage2b_skinny.py — Stage 2B skinny pull (2 endpoints/event, T-14 only).</w:t>
      </w:r>
    </w:p>
    <w:p>
      <w:pPr>
        <w:pStyle w:val="ListParagraph"/>
        <w:numPr>
          <w:ilvl w:val="0"/>
          <w:numId w:val="2"/>
        </w:numPr>
        <w:spacing w:after="80"/>
      </w:pPr>
      <w:r>
        <w:t xml:space="preserve">phase3_orats_stage3_features.py — Stage 3 feature engineering + honest eval pipeline.</w:t>
      </w:r>
    </w:p>
    <w:p>
      <w:pPr>
        <w:pStyle w:val="ListParagraph"/>
        <w:numPr>
          <w:ilvl w:val="0"/>
          <w:numId w:val="2"/>
        </w:numPr>
        <w:spacing w:after="80"/>
      </w:pPr>
      <w:r>
        <w:t xml:space="preserve">bifrost_v59_kaizen_results.json — methodology, C sweep, pre-screen top 20, greedy log, architecture sweep, final AUCs, CIs, verdict.</w:t>
      </w:r>
    </w:p>
    <w:p>
      <w:pPr>
        <w:pStyle w:val="ListParagraph"/>
        <w:numPr>
          <w:ilvl w:val="0"/>
          <w:numId w:val="2"/>
        </w:numPr>
        <w:spacing w:after="80"/>
      </w:pPr>
      <w:r>
        <w:t xml:space="preserve">phase3_stage2b_run.log — Stage 2B progress log (277/349 events cached, 8.7 min wall time, 141 errors).</w:t>
      </w:r>
    </w:p>
    <w:p>
      <w:pPr>
        <w:pStyle w:val="ListParagraph"/>
        <w:numPr>
          <w:ilvl w:val="0"/>
          <w:numId w:val="2"/>
        </w:numPr>
        <w:spacing w:after="80"/>
      </w:pPr>
      <w:r>
        <w:t xml:space="preserve">phase3_stage3_final_run.log — Stage 3 honest eval log with greedy rounds and final verdict.</w:t>
      </w:r>
    </w:p>
    <w:p>
      <w:pPr>
        <w:pStyle w:val="ListParagraph"/>
        <w:numPr>
          <w:ilvl w:val="0"/>
          <w:numId w:val="2"/>
        </w:numPr>
        <w:spacing w:after="80"/>
      </w:pPr>
      <w:r>
        <w:t xml:space="preserve">phase3_stage2b_progress.json — Stage 2B checkpoint (events_processed=349, events_complete=277, new_calls=636).</w:t>
      </w:r>
    </w:p>
    <w:p>
      <w:pPr>
        <w:pStyle w:val="ListParagraph"/>
        <w:numPr>
          <w:ilvl w:val="0"/>
          <w:numId w:val="2"/>
        </w:numPr>
        <w:spacing w:after="80"/>
      </w:pPr>
      <w:r>
        <w:t xml:space="preserve">orats_phase3_cache/ — 14,703 cached ORATS JSON responses (retained on disk for future ORATS v5.9b retry).</w:t>
      </w:r>
    </w:p>
    <w:p>
      <w:pPr>
        <w:pStyle w:val="ListParagraph"/>
        <w:numPr>
          <w:ilvl w:val="0"/>
          <w:numId w:val="2"/>
        </w:numPr>
        <w:spacing w:after="80"/>
      </w:pPr>
      <w:r>
        <w:t xml:space="preserve">BIFROST_Explosion_v5_9_ORATS_Findings.docx — this memo.</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240"/>
      <w:outlineLvl w:val="0"/>
    </w:pPr>
    <w:rPr>
      <w:rFonts w:ascii="Arial" w:cs="Arial" w:eastAsia="Arial" w:hAnsi="Arial"/>
      <w:b/>
      <w:bCs/>
      <w:sz w:val="32"/>
      <w:szCs w:val="32"/>
    </w:rPr>
  </w:style>
  <w:style w:type="paragraph" w:styleId="Heading2">
    <w:name w:val="Heading 2"/>
    <w:basedOn w:val="Normal"/>
    <w:next w:val="Normal"/>
    <w:qFormat/>
    <w:pPr>
      <w:spacing w:after="100" w:before="200"/>
      <w:outlineLvl w:val="1"/>
    </w:pPr>
    <w:rPr>
      <w:rFonts w:ascii="Arial" w:cs="Arial" w:eastAsia="Arial" w:hAnsi="Arial"/>
      <w:b/>
      <w:bCs/>
      <w:sz w:val="26"/>
      <w:szCs w:val="26"/>
    </w:rPr>
  </w:style>
  <w:style w:type="paragraph" w:styleId="Heading3">
    <w:name w:val="Heading 3"/>
    <w:basedOn w:val="Normal"/>
    <w:next w:val="Normal"/>
    <w:qFormat/>
    <w:pPr>
      <w:spacing w:after="80" w:before="160"/>
      <w:outlineLvl w:val="2"/>
    </w:pPr>
    <w:rPr>
      <w:rFonts w:ascii="Arial" w:cs="Arial" w:eastAsia="Arial" w:hAnsi="Arial"/>
      <w:b/>
      <w:bCs/>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2026-04-21T05:56:35.826Z</dcterms:created>
  <dcterms:modified xsi:type="dcterms:W3CDTF">2026-04-21T05:56:35.828Z</dcterms:modified>
</cp:coreProperties>
</file>

<file path=docProps/custom.xml><?xml version="1.0" encoding="utf-8"?>
<Properties xmlns="http://schemas.openxmlformats.org/officeDocument/2006/custom-properties" xmlns:vt="http://schemas.openxmlformats.org/officeDocument/2006/docPropsVTypes"/>
</file>